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B30" w:rsidRDefault="00535FC5">
      <w:pPr>
        <w:ind w:firstLine="0"/>
        <w:jc w:val="lef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Kurzusleírás (tematika)</w:t>
      </w:r>
    </w:p>
    <w:tbl>
      <w:tblPr>
        <w:tblStyle w:val="a"/>
        <w:tblW w:w="9270" w:type="dxa"/>
        <w:tblInd w:w="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1912"/>
        <w:gridCol w:w="1560"/>
        <w:gridCol w:w="1559"/>
        <w:gridCol w:w="2268"/>
      </w:tblGrid>
      <w:tr w:rsidR="00852B30">
        <w:trPr>
          <w:trHeight w:val="567"/>
        </w:trPr>
        <w:tc>
          <w:tcPr>
            <w:tcW w:w="92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2B30" w:rsidRDefault="00535FC5">
            <w:pPr>
              <w:pStyle w:val="Cmsor3"/>
              <w:ind w:left="0" w:firstLine="567"/>
              <w:rPr>
                <w:color w:val="000000"/>
              </w:rPr>
            </w:pPr>
            <w:r>
              <w:rPr>
                <w:color w:val="000000"/>
              </w:rPr>
              <w:t xml:space="preserve">Kurzus neve: </w:t>
            </w:r>
            <w:r w:rsidR="009C45E0">
              <w:rPr>
                <w:color w:val="000000"/>
              </w:rPr>
              <w:t xml:space="preserve">Diploma konzultáció - </w:t>
            </w:r>
            <w:r>
              <w:rPr>
                <w:color w:val="000000"/>
              </w:rPr>
              <w:t>Hang és Zene</w:t>
            </w:r>
          </w:p>
        </w:tc>
      </w:tr>
      <w:tr w:rsidR="00852B30">
        <w:trPr>
          <w:trHeight w:val="567"/>
        </w:trPr>
        <w:tc>
          <w:tcPr>
            <w:tcW w:w="92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2B30" w:rsidRDefault="00535FC5">
            <w:pPr>
              <w:pStyle w:val="Cmsor3"/>
              <w:numPr>
                <w:ilvl w:val="2"/>
                <w:numId w:val="1"/>
              </w:numPr>
            </w:pPr>
            <w:r>
              <w:rPr>
                <w:color w:val="000000"/>
              </w:rPr>
              <w:t xml:space="preserve">A kurzus oktatója/i, </w:t>
            </w:r>
            <w:proofErr w:type="gramStart"/>
            <w:r>
              <w:rPr>
                <w:color w:val="000000"/>
              </w:rPr>
              <w:t>elérhetősége(</w:t>
            </w:r>
            <w:proofErr w:type="gramEnd"/>
            <w:r>
              <w:rPr>
                <w:color w:val="000000"/>
              </w:rPr>
              <w:t xml:space="preserve">i): </w:t>
            </w:r>
            <w:proofErr w:type="spellStart"/>
            <w:r>
              <w:rPr>
                <w:color w:val="000000"/>
              </w:rPr>
              <w:t>Mazura</w:t>
            </w:r>
            <w:proofErr w:type="spellEnd"/>
            <w:r>
              <w:rPr>
                <w:color w:val="000000"/>
              </w:rPr>
              <w:t xml:space="preserve"> János</w:t>
            </w:r>
          </w:p>
        </w:tc>
      </w:tr>
      <w:tr w:rsidR="00852B30">
        <w:trPr>
          <w:trHeight w:val="705"/>
        </w:trPr>
        <w:tc>
          <w:tcPr>
            <w:tcW w:w="1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2B30" w:rsidRDefault="00535FC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Kód:</w:t>
            </w:r>
          </w:p>
          <w:p w:rsidR="00852B30" w:rsidRDefault="00535FC5" w:rsidP="009C45E0">
            <w:pPr>
              <w:ind w:firstLine="0"/>
            </w:pPr>
            <w:bookmarkStart w:id="0" w:name="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M-AN-401</w:t>
            </w:r>
            <w:r>
              <w:t xml:space="preserve"> </w:t>
            </w:r>
          </w:p>
          <w:p w:rsidR="00852B30" w:rsidRDefault="00852B30"/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2B30" w:rsidRDefault="00535FC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Tantervi hely:</w:t>
            </w:r>
          </w:p>
          <w:p w:rsidR="00852B30" w:rsidRDefault="00535FC5">
            <w:bookmarkStart w:id="1" w:name="30j0zll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Animációs tartalomfejlesztés</w:t>
            </w:r>
            <w:r>
              <w:t xml:space="preserve"> </w:t>
            </w:r>
          </w:p>
          <w:p w:rsidR="00852B30" w:rsidRDefault="00852B30"/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2B30" w:rsidRDefault="00535FC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Javasolt félév:</w:t>
            </w:r>
          </w:p>
          <w:p w:rsidR="00852B30" w:rsidRDefault="00535FC5">
            <w:r>
              <w:t>4.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2B30" w:rsidRDefault="00535FC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Kredit:</w:t>
            </w:r>
          </w:p>
          <w:p w:rsidR="00852B30" w:rsidRDefault="00535FC5">
            <w:r>
              <w:t>5.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2B30" w:rsidRDefault="00535FC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Tanóraszám: 45 </w:t>
            </w:r>
          </w:p>
          <w:p w:rsidR="00852B30" w:rsidRDefault="00535FC5">
            <w:r>
              <w:t>Egyéni hallgatói munkaóra:105</w:t>
            </w:r>
          </w:p>
        </w:tc>
      </w:tr>
      <w:tr w:rsidR="00852B30">
        <w:trPr>
          <w:trHeight w:val="705"/>
        </w:trPr>
        <w:tc>
          <w:tcPr>
            <w:tcW w:w="1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2B30" w:rsidRDefault="00535FC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Kapcsolt kódok: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2B30" w:rsidRDefault="00535FC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Típus: előadás/gyakorlat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2B30" w:rsidRDefault="00535FC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Szab.vál-ként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felvehető-e? nem</w:t>
            </w:r>
          </w:p>
          <w:p w:rsidR="00852B30" w:rsidRDefault="00852B30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2B30" w:rsidRDefault="00535FC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Szab.vál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esetén sajátos előfeltételek:</w:t>
            </w:r>
          </w:p>
          <w:p w:rsidR="00852B30" w:rsidRDefault="00852B30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2B30">
        <w:trPr>
          <w:trHeight w:val="705"/>
        </w:trPr>
        <w:tc>
          <w:tcPr>
            <w:tcW w:w="92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2B30" w:rsidRDefault="00535FC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kurzus kapcsolatai (előfeltételek, párhuzamosságok): nincs</w:t>
            </w:r>
          </w:p>
        </w:tc>
      </w:tr>
      <w:tr w:rsidR="00852B30">
        <w:trPr>
          <w:trHeight w:val="903"/>
        </w:trPr>
        <w:tc>
          <w:tcPr>
            <w:tcW w:w="92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2B30" w:rsidRDefault="00535FC5">
            <w:pPr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A kurzus célja és alapelvei:</w:t>
            </w:r>
          </w:p>
          <w:p w:rsidR="00852B30" w:rsidRDefault="00852B30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B30" w:rsidRDefault="00535FC5">
            <w:pPr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modul célja a hallgatók zenei és hangtechnikai készségeinek fejlesztése: a hanggal kapcsolatos alapfogalmak tisztázása, a hangfelvétel és hang utómunka legfontosabb technikai fázisainak ismertetése, valamint a filmzene alapvető funkcióinak és alkalmazási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módjainak bemutatása, annak érdekében, hogy projektjeikben tudatosabban használják a filmzene és filmhang eszközeit, lehetőségeit.</w:t>
            </w:r>
          </w:p>
          <w:p w:rsidR="00852B30" w:rsidRDefault="00852B30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2B30">
        <w:trPr>
          <w:trHeight w:val="2499"/>
        </w:trPr>
        <w:tc>
          <w:tcPr>
            <w:tcW w:w="9270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852B30" w:rsidRDefault="00535FC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Tanulási eredmények (fejlesztendő szakmai és általános kompetenciák):</w:t>
            </w:r>
          </w:p>
          <w:p w:rsidR="00852B30" w:rsidRDefault="00852B30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B30" w:rsidRDefault="00535FC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Tudás:</w:t>
            </w:r>
          </w:p>
          <w:p w:rsidR="00852B30" w:rsidRDefault="00535FC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Tervezési metodika (design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thinking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), innovációs módszerek, analitikus gondolkodás</w:t>
            </w:r>
          </w:p>
          <w:p w:rsidR="00852B30" w:rsidRDefault="00535FC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Magas szintű szakelméleti tudás: filmtörténet, filmdramaturgia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,filmelemzés</w:t>
            </w:r>
            <w:proofErr w:type="gramEnd"/>
          </w:p>
          <w:p w:rsidR="00852B30" w:rsidRDefault="00535FC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Produceri ismeretek: ismeri az animációs produkciók gazdasági kontextusa, szerzői jogi és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etikai normáit</w:t>
            </w:r>
          </w:p>
          <w:p w:rsidR="00852B30" w:rsidRDefault="00535FC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Kiterjedt és magas szintű elméleti és gyakorlati szakmai ismeretek az animációs produkciók koncepciójának létrehozásához szükséges fejlesztési metódusokról, tartalomfejlesztési módszerekről (lásd: témakörök), azok alkalmazása saját önáll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ó projektben</w:t>
            </w:r>
          </w:p>
          <w:p w:rsidR="00852B30" w:rsidRDefault="00535FC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5. Kiterjedt és magas szintű elméleti és gyakorlati szakmai ismeretek az animációs produkciók kivitelezéséhez szükséges technológiákról, az animációs produkciók a témaköröknél felsorolt részfolyamatairól (plánozás,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story-board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lay-out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animat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previz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vágás), azok alkalmazása saját önálló projektben</w:t>
            </w:r>
          </w:p>
          <w:p w:rsidR="00852B30" w:rsidRDefault="00535FC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6. Film és zene, animáció és hang,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dialógfelvétel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szinkron, zörejezés, keverés</w:t>
            </w:r>
          </w:p>
          <w:p w:rsidR="00852B30" w:rsidRDefault="00535FC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 Látványtervezés (karakter-, figuratervezés, képi absztrakció)</w:t>
            </w:r>
          </w:p>
          <w:p w:rsidR="00852B30" w:rsidRDefault="00535FC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 szakelméleti tájékozottság tradicionális (Rövid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film, absztrakt animáció, installáció,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music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video) és újabb keletű ill.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emergens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(AR, VR, 360 fokos fejlesztés, univerzum építés, interaktív tartalom) animációs formák, műfajok és platformok, valamint technológiák kérdéséiben - az elméleti tudás gyakorlat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 használata a kutatómunkában és projektfejlesztésben</w:t>
            </w:r>
          </w:p>
          <w:p w:rsidR="00852B30" w:rsidRDefault="00535FC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 kortárs hazai és nemzetközi animációs szakmai környezet és a zajló szakmai folyamatok ismerete, szaktörténeti kontextusba helyezése, ehhez kapcsolódóan saját tevékenység szakmai kontextusba helyezése</w:t>
            </w:r>
          </w:p>
          <w:p w:rsidR="00852B30" w:rsidRDefault="00535FC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 önálló szakmai program megfogalmazása, kapcsolódó projekt-koncepció kidolgozása és kivitelezése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852B30" w:rsidRDefault="00852B30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B30" w:rsidRDefault="00535FC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Képesség:</w:t>
            </w:r>
          </w:p>
          <w:p w:rsidR="00852B30" w:rsidRDefault="00535FC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1.Önállóan képes projektek kialakítására, fejlesztésére és megvalósítására</w:t>
            </w:r>
          </w:p>
          <w:p w:rsidR="00852B30" w:rsidRDefault="00535FC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.képes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prezentációk készítésére és előadására, képes a retorika,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pitching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eszközeit használni</w:t>
            </w:r>
          </w:p>
          <w:p w:rsidR="00852B30" w:rsidRDefault="00535FC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 képes kifinomult szakmai kommunikációra, vitára - szakmai kérdésekben árnyalt vélemény megfogalmazására, képviseletére, amellett való érvelésre</w:t>
            </w:r>
          </w:p>
          <w:p w:rsidR="00852B30" w:rsidRDefault="00535FC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képes a ter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vezési és gyártási munkafolyamatok hatékony menedzselésére</w:t>
            </w:r>
          </w:p>
          <w:p w:rsidR="00852B30" w:rsidRDefault="00535FC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 saját szakmai programot képes megfogalmazni, tágabb szakmai kontextusba helyezni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852B30" w:rsidRDefault="00852B30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B30" w:rsidRDefault="00535FC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Attitűd:</w:t>
            </w:r>
          </w:p>
          <w:p w:rsidR="00852B30" w:rsidRDefault="00535FC5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Szellemi szabadság,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autenticitás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kísérletező és vállalkozó kedv az alkotótevékenységben</w:t>
            </w:r>
          </w:p>
          <w:p w:rsidR="00852B30" w:rsidRDefault="00535FC5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Törekvé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 eredeti,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önazonos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tartalmak létrehozására, szakmai kihívások újszerű megválaszolására</w:t>
            </w:r>
          </w:p>
          <w:p w:rsidR="00852B30" w:rsidRDefault="00535FC5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Aktivitás új mozgóképes-, animációs módszerek és technikák keresésében</w:t>
            </w:r>
          </w:p>
          <w:p w:rsidR="00852B30" w:rsidRDefault="00535FC5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Motiváltság saját munkák önmenedzselésében, valamint azok a külvilág felé való ismertetéséb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</w:t>
            </w:r>
          </w:p>
          <w:p w:rsidR="00852B30" w:rsidRDefault="00535FC5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Kiforrott kritikai érzék, valamint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diszkurzív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hozzáállás saját munkájához kapcsolódó szakmai területekkel</w:t>
            </w:r>
          </w:p>
          <w:p w:rsidR="00852B30" w:rsidRDefault="00535FC5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 Erős igény a saját alkotótevékenység magas szintű minőség- és értékorientáltságára</w:t>
            </w:r>
          </w:p>
          <w:p w:rsidR="00852B30" w:rsidRDefault="00535FC5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 Nyitottság és tudatosság a szakma gyakorlási- és tovább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képzési lehetőségeinek bővítésében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852B30" w:rsidRDefault="00852B30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B30" w:rsidRDefault="00535FC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Autonómia és felelősségvállalás:</w:t>
            </w:r>
          </w:p>
          <w:p w:rsidR="00852B30" w:rsidRDefault="00535FC5">
            <w:pPr>
              <w:tabs>
                <w:tab w:val="left" w:pos="2377"/>
                <w:tab w:val="left" w:pos="4641"/>
                <w:tab w:val="left" w:pos="6905"/>
              </w:tabs>
              <w:ind w:left="276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autonómia és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önreflexivitás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alkotói tevékenységben</w:t>
            </w:r>
          </w:p>
          <w:p w:rsidR="00852B30" w:rsidRDefault="00535FC5">
            <w:pPr>
              <w:tabs>
                <w:tab w:val="left" w:pos="2377"/>
                <w:tab w:val="left" w:pos="4641"/>
                <w:tab w:val="left" w:pos="6905"/>
              </w:tabs>
              <w:ind w:left="276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Felelősségvállalás önálló kérdésfelvetéseinek szakmai megválaszolásában</w:t>
            </w:r>
          </w:p>
          <w:p w:rsidR="00852B30" w:rsidRDefault="00535FC5">
            <w:pPr>
              <w:tabs>
                <w:tab w:val="left" w:pos="2377"/>
                <w:tab w:val="left" w:pos="4641"/>
                <w:tab w:val="left" w:pos="6905"/>
              </w:tabs>
              <w:ind w:left="276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Tudatos szerepvállalás az animációs projektekben szakm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ai képességek, habitusoknak megfelelően</w:t>
            </w:r>
          </w:p>
          <w:p w:rsidR="00852B30" w:rsidRDefault="00535FC5">
            <w:pPr>
              <w:tabs>
                <w:tab w:val="left" w:pos="2377"/>
                <w:tab w:val="left" w:pos="4641"/>
                <w:tab w:val="left" w:pos="6905"/>
              </w:tabs>
              <w:ind w:left="276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Kezdeményező alkotó, aki a szakmai közösség tagjaként felelősséget vállal közösségéért, szakterülete értékeiért és etikai normáiért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852B30" w:rsidRDefault="00852B30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2B30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2B30" w:rsidRDefault="00535FC5">
            <w:pPr>
              <w:ind w:firstLine="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lastRenderedPageBreak/>
              <w:t>A kurzus keretében feldolgozandó témakörök, témák:</w:t>
            </w:r>
          </w:p>
          <w:p w:rsidR="00852B30" w:rsidRDefault="00852B30">
            <w:pPr>
              <w:ind w:firstLine="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  <w:p w:rsidR="00852B30" w:rsidRDefault="00535FC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A hanggal kapcsolatos alapfogalmak ismerete (Hangszín, hangerő, hangmagasság)</w:t>
            </w:r>
          </w:p>
          <w:p w:rsidR="00852B30" w:rsidRDefault="00535FC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Alapvető hangtechnikai fogalmak ismerete.</w:t>
            </w:r>
          </w:p>
          <w:p w:rsidR="00852B30" w:rsidRDefault="00535FC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A hangfelvétel és hang utómunka technikai fázisa, lehetőségei, a szükséges technikai eszközök és szoftverek vázlatos ismertetése</w:t>
            </w:r>
          </w:p>
          <w:p w:rsidR="00852B30" w:rsidRDefault="00535FC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filmhang alapvető elemei</w:t>
            </w:r>
          </w:p>
          <w:p w:rsidR="00852B30" w:rsidRDefault="00535FC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Alapvető zenei fogalmak</w:t>
            </w:r>
          </w:p>
          <w:p w:rsidR="00852B30" w:rsidRDefault="00535FC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A filmzene alapvető funkciói és alkalmazási területei</w:t>
            </w:r>
          </w:p>
          <w:p w:rsidR="00852B30" w:rsidRDefault="00852B30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2B30">
        <w:trPr>
          <w:trHeight w:val="675"/>
        </w:trPr>
        <w:tc>
          <w:tcPr>
            <w:tcW w:w="92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2B30" w:rsidRDefault="00535FC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Tanulásszervezés/folyamatszervezés sajátosságai:</w:t>
            </w:r>
          </w:p>
          <w:p w:rsidR="00852B30" w:rsidRDefault="00535FC5">
            <w:pPr>
              <w:spacing w:before="120" w:after="60"/>
              <w:ind w:left="134" w:hanging="13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A kurzus menete, az egyes foglalkozások jellege és ütemezésük:</w:t>
            </w:r>
          </w:p>
          <w:p w:rsidR="00852B30" w:rsidRDefault="00852B30">
            <w:pPr>
              <w:ind w:left="134" w:right="355" w:hanging="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B30" w:rsidRDefault="00535FC5">
            <w:pPr>
              <w:ind w:left="134" w:right="355" w:hanging="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kurzus 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tömbösítve, online felületen zajló három napos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workshopként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lesz megtartva a 13:40- 18:00 idősávban</w:t>
            </w:r>
          </w:p>
          <w:p w:rsidR="00852B30" w:rsidRDefault="00852B30">
            <w:pPr>
              <w:ind w:left="134" w:right="355" w:hanging="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B30" w:rsidRDefault="00535FC5">
            <w:pPr>
              <w:ind w:left="134" w:right="355" w:hanging="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(tervezett napok: március 22.-23.-24.)</w:t>
            </w:r>
          </w:p>
          <w:p w:rsidR="00852B30" w:rsidRDefault="00852B30">
            <w:pPr>
              <w:ind w:left="134" w:right="355" w:hanging="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B30" w:rsidRDefault="00852B30">
            <w:pPr>
              <w:ind w:left="134" w:right="355" w:hanging="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B30" w:rsidRDefault="00535FC5">
            <w:pPr>
              <w:ind w:right="355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tervezett feladatok:</w:t>
            </w:r>
          </w:p>
          <w:p w:rsidR="00852B30" w:rsidRDefault="00852B30">
            <w:pPr>
              <w:ind w:right="355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B30" w:rsidRDefault="00535FC5">
            <w:pPr>
              <w:ind w:right="355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.nap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  <w:p w:rsidR="00852B30" w:rsidRDefault="00535FC5">
            <w:pPr>
              <w:ind w:right="355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A hanggal kapcsolatos alapvető fogalmak és ismeretek: mi a hang, hangerő, hangnyomás, hangszín, hangmagasság? Mi a különbség a zaj és a zenei hang között?</w:t>
            </w:r>
          </w:p>
          <w:p w:rsidR="00852B30" w:rsidRDefault="00535FC5">
            <w:pPr>
              <w:ind w:right="355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Mi a hangrögzítés? Mi a különbség az analóg és digitális hang között? Milyen lehetőségeink vannak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hang feldolgozására, hangsávok keverésére? Milyen elemekből áll a film hangja?</w:t>
            </w:r>
          </w:p>
          <w:p w:rsidR="00852B30" w:rsidRDefault="00852B30">
            <w:pPr>
              <w:ind w:right="355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B30" w:rsidRDefault="00535FC5">
            <w:pPr>
              <w:ind w:right="355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.nap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  <w:p w:rsidR="00852B30" w:rsidRDefault="00535FC5">
            <w:pPr>
              <w:ind w:right="355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A hangfelvétel alapvető technikai eszközei és a felvételi körülmények. Az általánosan használt eszközök ismertetése, alapvető funkciójuk és fajtáik. A hangfelvétel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és utómunka során használt szoftverek általános jellemzői és lehetőségei. A hangfelvétel és utómunka technológiai lépései. Egyszerű hangfelvételi és hang utómunka rendszerek összeállítása és használata.</w:t>
            </w:r>
          </w:p>
          <w:p w:rsidR="00852B30" w:rsidRDefault="00852B30">
            <w:pPr>
              <w:ind w:right="355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B30" w:rsidRDefault="00535FC5">
            <w:pPr>
              <w:ind w:right="355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.nap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52B30" w:rsidRDefault="00535FC5">
            <w:pPr>
              <w:ind w:right="355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A filmzene alapvető funkciói, filmpéldákka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 illusztrálva. A filmzene fajtái műfajok szerint, azok alkalmazási területei. Az alapvető zenei eszközök és hangszerek fajtái és azok jellegzetességei, beleértve a virtuális hangszereket is. A filmzene tudatos használatának szabályai.</w:t>
            </w:r>
          </w:p>
          <w:p w:rsidR="00852B30" w:rsidRDefault="00852B30">
            <w:pPr>
              <w:ind w:left="134" w:right="355" w:hanging="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B30" w:rsidRDefault="00852B30">
            <w:pPr>
              <w:spacing w:after="6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B30" w:rsidRDefault="00535FC5">
            <w:pPr>
              <w:spacing w:after="60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A hallgatók tenn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ivalói, feladatai:</w:t>
            </w:r>
          </w:p>
          <w:p w:rsidR="00852B30" w:rsidRDefault="00852B30">
            <w:pPr>
              <w:spacing w:after="60"/>
              <w:ind w:firstLine="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  <w:p w:rsidR="00852B30" w:rsidRDefault="00535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kurzuson szerzett ismereteiket a hallgatók építsék be a diplomafilmjük tervezésébe. Későbbi konzultációk során vitatjuk meg a film készítése során felmerülő hangi problémákat, illetve azt, hogy miként törekszenek a film hangi rétegein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ek tudatos tervezésére és a filmzene tudatos használatára.</w:t>
            </w:r>
          </w:p>
          <w:p w:rsidR="00852B30" w:rsidRDefault="00852B30">
            <w:pPr>
              <w:spacing w:after="60"/>
              <w:ind w:firstLine="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  <w:p w:rsidR="00852B30" w:rsidRDefault="00852B30">
            <w:pPr>
              <w:spacing w:after="6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B30" w:rsidRDefault="00852B30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B30" w:rsidRDefault="00535FC5">
            <w:pPr>
              <w:ind w:left="276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tanulás környezete: online</w:t>
            </w:r>
          </w:p>
          <w:p w:rsidR="00852B30" w:rsidRDefault="00852B30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B30" w:rsidRDefault="00852B30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2B30">
        <w:trPr>
          <w:trHeight w:val="653"/>
        </w:trPr>
        <w:tc>
          <w:tcPr>
            <w:tcW w:w="9270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852B30" w:rsidRDefault="00535FC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Értékelés:</w:t>
            </w:r>
          </w:p>
          <w:p w:rsidR="00852B30" w:rsidRDefault="00852B30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B30" w:rsidRDefault="00535FC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Teljesítendő követelmények:</w:t>
            </w:r>
          </w:p>
          <w:p w:rsidR="00852B30" w:rsidRDefault="0053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6" w:right="355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Aktív, folyamatos jelenlét a konzultációkon, foglalkozásokon, a feladatok határidőre, az elvárt színvonalon történő megoldása.</w:t>
            </w:r>
          </w:p>
          <w:p w:rsidR="00852B30" w:rsidRDefault="00852B30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B30" w:rsidRDefault="00852B30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B30" w:rsidRDefault="00852B30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B30" w:rsidRDefault="00535FC5">
            <w:pPr>
              <w:ind w:left="276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Értékelés módja: gyakorlati demonstráció</w:t>
            </w:r>
          </w:p>
          <w:p w:rsidR="00852B30" w:rsidRDefault="00852B30">
            <w:pPr>
              <w:ind w:left="276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B30" w:rsidRDefault="00535FC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Az értékelés szempontjai:</w:t>
            </w:r>
          </w:p>
          <w:p w:rsidR="00852B30" w:rsidRDefault="00535FC5">
            <w:pPr>
              <w:ind w:left="276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gyakorlatokon való aktivitás, kreatív ötletek alkalm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azása, megoldáskeresés. A feladatokban nyújtott teljesítmény. Szorgalom, fejlődés és tartalom.</w:t>
            </w:r>
          </w:p>
          <w:p w:rsidR="00852B30" w:rsidRDefault="00535FC5">
            <w:pPr>
              <w:ind w:left="276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Konzultációkon való aktív részvétel, a különböző részfeladatok teljesítésének, kivitelezésének színvonala.</w:t>
            </w:r>
          </w:p>
          <w:p w:rsidR="00852B30" w:rsidRDefault="00852B30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B30" w:rsidRDefault="00852B30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52B30">
        <w:trPr>
          <w:trHeight w:val="653"/>
        </w:trPr>
        <w:tc>
          <w:tcPr>
            <w:tcW w:w="9270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852B30" w:rsidRDefault="00852B30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B30" w:rsidRDefault="00535FC5">
            <w:pPr>
              <w:ind w:left="276" w:firstLine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Az érdemjegy kiszámítása: a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Diploma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konzultáció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részjegyeként</w:t>
            </w:r>
            <w:proofErr w:type="gramEnd"/>
          </w:p>
          <w:p w:rsidR="00852B30" w:rsidRDefault="00852B30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2B30">
        <w:trPr>
          <w:trHeight w:val="1351"/>
        </w:trPr>
        <w:tc>
          <w:tcPr>
            <w:tcW w:w="92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2B30" w:rsidRDefault="00535FC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Kötelező irodalom:</w:t>
            </w:r>
          </w:p>
          <w:p w:rsidR="00852B30" w:rsidRDefault="00852B30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B30" w:rsidRDefault="00852B30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B30" w:rsidRDefault="00535FC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Ajánlott irodalom:</w:t>
            </w:r>
          </w:p>
          <w:p w:rsidR="00852B30" w:rsidRDefault="00852B30">
            <w:pPr>
              <w:spacing w:after="12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B30" w:rsidRDefault="00852B30">
            <w:pPr>
              <w:spacing w:after="12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2B30">
        <w:trPr>
          <w:trHeight w:val="1351"/>
        </w:trPr>
        <w:tc>
          <w:tcPr>
            <w:tcW w:w="92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2B30" w:rsidRDefault="00535FC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Egyéb információk:</w:t>
            </w:r>
          </w:p>
        </w:tc>
      </w:tr>
      <w:tr w:rsidR="00852B30">
        <w:trPr>
          <w:trHeight w:val="2539"/>
        </w:trPr>
        <w:tc>
          <w:tcPr>
            <w:tcW w:w="9270" w:type="dxa"/>
            <w:gridSpan w:val="5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2B30" w:rsidRDefault="00535FC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Máshol/korábban szerzett tudás elismerése/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validációs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elv:</w:t>
            </w:r>
          </w:p>
          <w:p w:rsidR="00852B30" w:rsidRDefault="00852B30">
            <w:pPr>
              <w:ind w:left="348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B30" w:rsidRDefault="00535FC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részleges beszámítás/elismerés lehetséges</w:t>
            </w:r>
          </w:p>
          <w:p w:rsidR="00852B30" w:rsidRDefault="00852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firstLine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852B30">
        <w:trPr>
          <w:trHeight w:val="271"/>
        </w:trPr>
        <w:tc>
          <w:tcPr>
            <w:tcW w:w="92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2B30" w:rsidRDefault="00535FC5">
            <w:pPr>
              <w:spacing w:before="6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Tanórán kívüli konzultációs időpontok és helyszín:</w:t>
            </w:r>
          </w:p>
          <w:p w:rsidR="00852B30" w:rsidRDefault="00852B30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52B30" w:rsidRDefault="00852B30">
      <w:pPr>
        <w:ind w:firstLine="0"/>
        <w:rPr>
          <w:rFonts w:ascii="Times New Roman" w:eastAsia="Times New Roman" w:hAnsi="Times New Roman" w:cs="Times New Roman"/>
          <w:color w:val="000000"/>
        </w:rPr>
      </w:pPr>
    </w:p>
    <w:p w:rsidR="00852B30" w:rsidRDefault="00852B30">
      <w:pPr>
        <w:ind w:firstLine="0"/>
        <w:rPr>
          <w:rFonts w:ascii="Times New Roman" w:eastAsia="Times New Roman" w:hAnsi="Times New Roman" w:cs="Times New Roman"/>
          <w:color w:val="000000"/>
        </w:rPr>
      </w:pPr>
    </w:p>
    <w:sectPr w:rsidR="00852B30">
      <w:pgSz w:w="11906" w:h="16838"/>
      <w:pgMar w:top="851" w:right="985" w:bottom="993" w:left="147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64872"/>
    <w:multiLevelType w:val="multilevel"/>
    <w:tmpl w:val="15D01CA0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 w:val="0"/>
      </w:rPr>
    </w:lvl>
  </w:abstractNum>
  <w:abstractNum w:abstractNumId="1" w15:restartNumberingAfterBreak="0">
    <w:nsid w:val="695D6058"/>
    <w:multiLevelType w:val="multilevel"/>
    <w:tmpl w:val="BD6A04EE"/>
    <w:lvl w:ilvl="0">
      <w:start w:val="1"/>
      <w:numFmt w:val="upperRoman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30"/>
    <w:rsid w:val="00535FC5"/>
    <w:rsid w:val="00852B30"/>
    <w:rsid w:val="009C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E9287-4DE3-4EB5-985B-B6C54A0C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spacing w:before="240" w:after="60"/>
      <w:ind w:left="432" w:hanging="432"/>
      <w:jc w:val="left"/>
      <w:outlineLvl w:val="0"/>
    </w:pPr>
    <w:rPr>
      <w:rFonts w:ascii="Arial" w:eastAsia="Arial" w:hAnsi="Arial" w:cs="Arial"/>
      <w:b/>
      <w:sz w:val="28"/>
      <w:szCs w:val="28"/>
    </w:rPr>
  </w:style>
  <w:style w:type="paragraph" w:styleId="Cmsor2">
    <w:name w:val="heading 2"/>
    <w:basedOn w:val="Norml"/>
    <w:next w:val="Norml"/>
    <w:pPr>
      <w:keepNext/>
      <w:spacing w:before="240" w:after="60"/>
      <w:ind w:left="576" w:hanging="576"/>
      <w:jc w:val="left"/>
      <w:outlineLvl w:val="1"/>
    </w:pPr>
    <w:rPr>
      <w:rFonts w:ascii="Arial" w:eastAsia="Arial" w:hAnsi="Arial" w:cs="Arial"/>
      <w:b/>
      <w:i/>
    </w:rPr>
  </w:style>
  <w:style w:type="paragraph" w:styleId="Cmsor3">
    <w:name w:val="heading 3"/>
    <w:basedOn w:val="Norml"/>
    <w:next w:val="Norml"/>
    <w:pPr>
      <w:keepNext/>
      <w:spacing w:before="240" w:after="60"/>
      <w:ind w:left="720" w:hanging="720"/>
      <w:jc w:val="left"/>
      <w:outlineLvl w:val="2"/>
    </w:pPr>
    <w:rPr>
      <w:rFonts w:ascii="Times New Roman" w:eastAsia="Times New Roman" w:hAnsi="Times New Roman" w:cs="Times New Roman"/>
      <w:b/>
    </w:rPr>
  </w:style>
  <w:style w:type="paragraph" w:styleId="Cmsor4">
    <w:name w:val="heading 4"/>
    <w:basedOn w:val="Norml"/>
    <w:next w:val="Norml"/>
    <w:pPr>
      <w:keepNext/>
      <w:spacing w:before="240" w:after="60"/>
      <w:ind w:left="864" w:hanging="864"/>
      <w:jc w:val="left"/>
      <w:outlineLvl w:val="3"/>
    </w:pPr>
    <w:rPr>
      <w:rFonts w:ascii="Times New Roman" w:eastAsia="Times New Roman" w:hAnsi="Times New Roman" w:cs="Times New Roman"/>
      <w:b/>
      <w:i/>
    </w:rPr>
  </w:style>
  <w:style w:type="paragraph" w:styleId="Cmsor5">
    <w:name w:val="heading 5"/>
    <w:basedOn w:val="Norml"/>
    <w:next w:val="Norml"/>
    <w:pPr>
      <w:spacing w:before="240" w:after="60"/>
      <w:ind w:left="1008" w:hanging="1008"/>
      <w:jc w:val="left"/>
      <w:outlineLvl w:val="4"/>
    </w:pPr>
    <w:rPr>
      <w:rFonts w:ascii="Arial" w:eastAsia="Arial" w:hAnsi="Arial" w:cs="Arial"/>
      <w:sz w:val="22"/>
      <w:szCs w:val="22"/>
    </w:rPr>
  </w:style>
  <w:style w:type="paragraph" w:styleId="Cmsor6">
    <w:name w:val="heading 6"/>
    <w:basedOn w:val="Norml"/>
    <w:next w:val="Norml"/>
    <w:pPr>
      <w:spacing w:before="240" w:after="60"/>
      <w:ind w:left="1152" w:hanging="1152"/>
      <w:jc w:val="left"/>
      <w:outlineLvl w:val="5"/>
    </w:pPr>
    <w:rPr>
      <w:rFonts w:ascii="Arial" w:eastAsia="Arial" w:hAnsi="Arial" w:cs="Arial"/>
      <w:i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spacing w:before="240" w:after="60" w:line="276" w:lineRule="auto"/>
      <w:ind w:firstLine="284"/>
      <w:jc w:val="center"/>
    </w:pPr>
    <w:rPr>
      <w:rFonts w:ascii="Cambria" w:eastAsia="Cambria" w:hAnsi="Cambria" w:cs="Cambria"/>
      <w:b/>
      <w:color w:val="0070C0"/>
      <w:sz w:val="32"/>
      <w:szCs w:val="32"/>
    </w:rPr>
  </w:style>
  <w:style w:type="paragraph" w:styleId="Alcm">
    <w:name w:val="Subtitle"/>
    <w:basedOn w:val="Norml"/>
    <w:next w:val="Norm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69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6122</Characters>
  <Application>Microsoft Office Word</Application>
  <DocSecurity>0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Danyi Anna</dc:creator>
  <cp:lastModifiedBy>Danyi Anna</cp:lastModifiedBy>
  <cp:revision>3</cp:revision>
  <dcterms:created xsi:type="dcterms:W3CDTF">2021-01-29T08:22:00Z</dcterms:created>
  <dcterms:modified xsi:type="dcterms:W3CDTF">2021-01-29T08:23:00Z</dcterms:modified>
</cp:coreProperties>
</file>