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5D" w:rsidRDefault="004C43CB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Kurzusleírás (tematika)</w:t>
      </w:r>
    </w:p>
    <w:tbl>
      <w:tblPr>
        <w:tblStyle w:val="a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FA705D">
        <w:trPr>
          <w:trHeight w:val="567"/>
        </w:trPr>
        <w:tc>
          <w:tcPr>
            <w:tcW w:w="9270" w:type="dxa"/>
            <w:gridSpan w:val="5"/>
          </w:tcPr>
          <w:p w:rsidR="00FA705D" w:rsidRDefault="004C43CB" w:rsidP="004C43CB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>
              <w:rPr>
                <w:b w:val="0"/>
              </w:rPr>
              <w:t>Kurzus neve: Animációs produkció 2. / Kreatív írás</w:t>
            </w:r>
            <w:r>
              <w:rPr>
                <w:b w:val="0"/>
              </w:rPr>
              <w:br/>
            </w:r>
          </w:p>
        </w:tc>
      </w:tr>
      <w:tr w:rsidR="00FA705D">
        <w:trPr>
          <w:trHeight w:val="567"/>
        </w:trPr>
        <w:tc>
          <w:tcPr>
            <w:tcW w:w="9270" w:type="dxa"/>
            <w:gridSpan w:val="5"/>
          </w:tcPr>
          <w:p w:rsidR="00FA705D" w:rsidRDefault="004C43CB" w:rsidP="004C43CB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>
              <w:rPr>
                <w:b w:val="0"/>
              </w:rPr>
              <w:t xml:space="preserve">A kurzus oktatója/i, </w:t>
            </w:r>
            <w:proofErr w:type="gramStart"/>
            <w:r>
              <w:rPr>
                <w:b w:val="0"/>
              </w:rPr>
              <w:t>elérhetősége(</w:t>
            </w:r>
            <w:proofErr w:type="gramEnd"/>
            <w:r>
              <w:rPr>
                <w:b w:val="0"/>
              </w:rPr>
              <w:t xml:space="preserve">i): </w:t>
            </w:r>
          </w:p>
          <w:p w:rsidR="00FA705D" w:rsidRDefault="004C43CB" w:rsidP="004C43CB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rPr>
                <w:rFonts w:eastAsia="Times New Roman"/>
              </w:rPr>
              <w:t xml:space="preserve">Moll Zoltán / </w:t>
            </w:r>
            <w:hyperlink r:id="rId6" w:history="1">
              <w:proofErr w:type="gramStart"/>
              <w:r w:rsidRPr="00F868C5">
                <w:rPr>
                  <w:rStyle w:val="Hiperhivatkozs"/>
                  <w:rFonts w:eastAsia="Times New Roman"/>
                </w:rPr>
                <w:t>zoltanmoll@gmail.com</w:t>
              </w:r>
            </w:hyperlink>
            <w:r>
              <w:rPr>
                <w:rFonts w:eastAsia="Times New Roman"/>
              </w:rPr>
              <w:t xml:space="preserve">  /</w:t>
            </w:r>
            <w:proofErr w:type="gramEnd"/>
            <w:r>
              <w:rPr>
                <w:rFonts w:eastAsia="Times New Roman"/>
              </w:rPr>
              <w:t xml:space="preserve"> 06209478999</w:t>
            </w:r>
          </w:p>
        </w:tc>
      </w:tr>
      <w:tr w:rsidR="00FA705D">
        <w:trPr>
          <w:trHeight w:val="705"/>
        </w:trPr>
        <w:tc>
          <w:tcPr>
            <w:tcW w:w="1972" w:type="dxa"/>
          </w:tcPr>
          <w:p w:rsidR="004C43CB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Kód: 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M-AN-201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Tantervi hely:</w:t>
            </w:r>
          </w:p>
          <w:p w:rsidR="00FA705D" w:rsidRDefault="00FA70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Javasolt félév: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C43CB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Kredit: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Tanóraszám:60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Egyéni hallgatói munkaóra: 90</w:t>
            </w:r>
          </w:p>
        </w:tc>
      </w:tr>
      <w:tr w:rsidR="00FA705D">
        <w:trPr>
          <w:trHeight w:val="705"/>
        </w:trPr>
        <w:tc>
          <w:tcPr>
            <w:tcW w:w="1972" w:type="dxa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Kapcsolt kódok:</w:t>
            </w:r>
          </w:p>
        </w:tc>
        <w:tc>
          <w:tcPr>
            <w:tcW w:w="1911" w:type="dxa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Típus: előadás/gyakorlat</w:t>
            </w:r>
          </w:p>
        </w:tc>
        <w:tc>
          <w:tcPr>
            <w:tcW w:w="1560" w:type="dxa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Szab.vál-ként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felvehető-e? nem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Szab.vál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esetén sajátos előfeltételek:</w:t>
            </w:r>
          </w:p>
          <w:p w:rsidR="00FA705D" w:rsidRDefault="00FA705D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A705D">
        <w:trPr>
          <w:trHeight w:val="705"/>
        </w:trPr>
        <w:tc>
          <w:tcPr>
            <w:tcW w:w="9270" w:type="dxa"/>
            <w:gridSpan w:val="5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kurzus kapcsolatai (előfeltételek, párhuzamosságok): nincs</w:t>
            </w:r>
          </w:p>
        </w:tc>
      </w:tr>
      <w:tr w:rsidR="00FA705D">
        <w:trPr>
          <w:trHeight w:val="903"/>
        </w:trPr>
        <w:tc>
          <w:tcPr>
            <w:tcW w:w="9270" w:type="dxa"/>
            <w:gridSpan w:val="5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célja és alapelvei: 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gyakorlati bevezetés a filmírás módszertanába, a történetmesélő képzelet célorientált edzésén keresztül.  A félév első részében gyakorlatokkal fejlesztjük a hallgatók íráskészségét, akik ezután megírják egy rövidfilm forgatókönyvének első verzióját.  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cél az egyéni alkotó hang megerősítése műhelymunkában, felkészülés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forgatókönyvfejlesztés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szakmai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kihívásaira.</w:t>
            </w:r>
          </w:p>
        </w:tc>
      </w:tr>
      <w:tr w:rsidR="00FA705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Tanulási eredmények (fejlesztendő szakmai és általános kompetenciák):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Tudás: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Tervezési metodika (design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thinking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innovációs módszerek, analitikus gondolkodás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Magas szintű szakelméleti tudás: filmtörténet, filmdramaturgia,</w:t>
            </w:r>
            <w:r w:rsidR="004B18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filmelemzés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Produceri ismeretek: ismeri az animációs produkciók gazdasági kontextusa, szerzői jogi és etikai normáit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Kiterjedt és magas szintű elméleti és gyakorlati szakmai ismeretek az animációs produkciók koncepciójának létrehozásához szükséges fejlesztési metódusokról, tartalomfejlesztési módszerekről (lásd: témakörök), azok alkalmazása saját önálló projektben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Kiterjedt és magas szintű elméleti és gyakorlati szakmai ismeretek az animációs produkciók kivitelezéséhez szükséges technológiákról, az animációs produkciók a témaköröknél felsorolt részfolyamatairól (plánozás,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story-board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lay-out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vágás), azok alkalmazása saját önálló projektben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Film és zene, animáció és hang,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dialógfelvétel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szinkron, zörejezés, keverés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Látványtervezés (karakter-, figuratervezés, képi absztrakció)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szakelméleti tájékozottság tradicionális (Rövidfilm, absztrakt animáció, installáció,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video) és újabb keletű ill.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emergens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(AR, VR, 360 fokos fejlesztés, univerzum építés, interaktív tartalom) animációs formák, műfajok és platformok, valamint technológiák kérdéséiben - az elméleti tudás gyakorlati használata a kutatómunkában és projektfejlesztésben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kortárs hazai és nemzetközi animációs szakmai környezet és a zajló szakmai folyamatok ismerete, szaktörténeti kontextusba helyezése, ehhez kapcsolódóan saját tevékenység szakmai kontextusba helyezése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önálló szakmai program megfogalmazása, kapcsolódó projekt-koncepció kidolgozása és kivitelezése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FA705D" w:rsidRDefault="00FA705D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Képesség: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1.Önállóan képes projektek kialakítására, fejlesztésére és megvalósítására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4B18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képes prezentációk készítésére és előadására, képes a retorika,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eszközeit használni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képes kifinomult szakmai kommunikációra, vitára - szakmai kérdésekben árnyalt vélemény megfogalmazására, képviseletére, amellett való érvelésre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képes a tervezési és gyártási munkafolyamatok hatékony menedzselésére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saját szakmai programot képes megfogalmazni, tágabb szakmai kontextusba helyezni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FA705D" w:rsidRDefault="00FA705D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Attitűd: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Szellemi szabadság,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autenticitás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kísérletező és vállalkozó kedv az alkotótevékenységben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Törekvés eredeti,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önazonos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tartalmak létrehozására, szakmai kihívások újszerű megválaszolására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Aktivitás új mozgóképes-, animációs módszerek és technikák keresésében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Motiváltság saját munkák önmenedzselésében, valamint azok a külvilág felé való ismertetésében 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Kiforrott kritikai érzék, valamint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diszkurzív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hozzáállás saját munkájához kapcsolódó szakmai területekkel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Erős igény a saját alkotótevékenység magas szintű minőség- és értékorientáltságára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Nyitottság és tudatosság a szakma gyakorlási- és továbbképzési lehetőségeinek bővítésében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FA705D" w:rsidRDefault="00FA705D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Autonómia és felelősségvállalás: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autonómia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önreflexivitás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alkotói tevékenységben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Felelősségvállalás önálló kérdésfelvetéseinek szakmai megválaszolásában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Tudatos szerepvállalás az animációs projektekben szakmai képességek, habitusoknak megfelelően</w:t>
            </w:r>
          </w:p>
          <w:p w:rsidR="00FA705D" w:rsidRDefault="004C43C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Kezdeményező alkotó, aki a szakmai közösség tagjaként felelősséget vállal közösségéért, szakterülete értékeiért és etikai normáiért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A705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kurzus keretében feldolgozandó témakörök, témák: 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filmes történetmesélés hagyományainak gyakorlati jelentősége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Filmes íráskészség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Dramaturgiai műhelymunka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Forgatókönyvírási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metodika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A705D">
        <w:trPr>
          <w:trHeight w:val="675"/>
        </w:trPr>
        <w:tc>
          <w:tcPr>
            <w:tcW w:w="9270" w:type="dxa"/>
            <w:gridSpan w:val="5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Tanulásszervezés/folyamatszervezés sajátosságai: </w:t>
            </w:r>
          </w:p>
          <w:p w:rsidR="00FA705D" w:rsidRDefault="004C43CB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 kurzus menete, az egyes foglalkozások jellege és ütemezésük:</w:t>
            </w:r>
          </w:p>
          <w:p w:rsidR="00FA705D" w:rsidRDefault="00FA705D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1-2. Alapozó írásgyakorlatok, a történetmesélés szabályai és a fantázia. </w:t>
            </w:r>
          </w:p>
          <w:p w:rsidR="00FA705D" w:rsidRDefault="004C43C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3-6.  Filmnovella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írás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mint improvizáció - képzeletgyakorlatok. (Hasonlítanak ahhoz, amiket Bíró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Yvette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leír az “Egy akt felöltöztetése” című könyvében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A705D" w:rsidRDefault="004C43C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7-10. Rövidfilm forgatókönyvírás.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Pitch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szinopszis,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outline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forgatókönyv első változat.</w:t>
            </w:r>
          </w:p>
          <w:p w:rsidR="00FA705D" w:rsidRDefault="00FA705D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 hallgatók tennivalói, feladatai:</w:t>
            </w:r>
          </w:p>
          <w:p w:rsidR="00FA705D" w:rsidRDefault="004C43CB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órákon való részvétel és aktív jelenlét, egymás munkáinak tárgyalásában való részvétel és véleményformálás, a kidolgozandó órai feladatok teljesítése, illetve az otthoni írásbeli feladatok teljesítése.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tanulás környezete: online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A705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Értékelés: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Teljesítendő követelmények:</w:t>
            </w:r>
          </w:p>
          <w:p w:rsidR="00FA705D" w:rsidRDefault="004C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6"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Aktív, folyamatos jelenlét a konzultációkon, foglalkozásokon, a feladatok határidőre, az elvárt színvonalon történő megoldása.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Értékelés módja: Az írásbeli feladatok kiértékelése. Az órákon való részvétel egyéni értékelése.</w:t>
            </w:r>
          </w:p>
          <w:p w:rsidR="00FA705D" w:rsidRDefault="004C43CB">
            <w:pPr>
              <w:ind w:left="28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értékelés szempontjai: Feladatmegoldások minősége, mennyisége és eredményessége (Tartalom), egyéni fejlődés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Fejlődés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aktív részvétel az órán feladatmegoldások terén, csapatmunkában, illetve a többi hallgatónak adott konstruktív kritikai visszajelzések formájában (Szorgalom) </w:t>
            </w:r>
          </w:p>
          <w:p w:rsidR="00FA705D" w:rsidRDefault="00FA705D">
            <w:pPr>
              <w:ind w:firstLine="283"/>
              <w:rPr>
                <w:rFonts w:ascii="Times New Roman" w:eastAsia="Times New Roman" w:hAnsi="Times New Roman" w:cs="Times New Roman"/>
              </w:rPr>
            </w:pP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705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érdemjegy kiszámítása: szorgalom, fejlődés, tartalom / egyenlő arányban, számtani átlag alapján, az Animációs Produkció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részjegyeként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A705D">
        <w:trPr>
          <w:trHeight w:val="1351"/>
        </w:trPr>
        <w:tc>
          <w:tcPr>
            <w:tcW w:w="9270" w:type="dxa"/>
            <w:gridSpan w:val="5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Kötelező irodalom: </w:t>
            </w: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Legalább egy, szabadon választott játékfilm forgatókönyvének elolvasása.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Ajánlott irodalom: </w:t>
            </w:r>
          </w:p>
          <w:p w:rsidR="00FA705D" w:rsidRDefault="004C43C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Arisztotelész: Poétika </w:t>
            </w:r>
          </w:p>
          <w:p w:rsidR="00FA705D" w:rsidRDefault="004C43C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UCLA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' Program </w:t>
            </w:r>
          </w:p>
          <w:p w:rsidR="00FA705D" w:rsidRDefault="004C43CB">
            <w:pPr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Bíró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Yvette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Egy akt felöltöztetése</w:t>
            </w:r>
          </w:p>
        </w:tc>
      </w:tr>
      <w:tr w:rsidR="00FA705D">
        <w:trPr>
          <w:trHeight w:val="1351"/>
        </w:trPr>
        <w:tc>
          <w:tcPr>
            <w:tcW w:w="9270" w:type="dxa"/>
            <w:gridSpan w:val="5"/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Egyéb információk: </w:t>
            </w:r>
          </w:p>
        </w:tc>
      </w:tr>
      <w:tr w:rsidR="00FA705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FA705D" w:rsidRDefault="004C43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Máshol/korábban szerzett tudás elismerése/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validációs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elv:</w:t>
            </w:r>
          </w:p>
          <w:p w:rsidR="00FA705D" w:rsidRDefault="00FA705D">
            <w:pPr>
              <w:ind w:left="348" w:firstLine="0"/>
              <w:rPr>
                <w:rFonts w:ascii="Times New Roman" w:eastAsia="Times New Roman" w:hAnsi="Times New Roman" w:cs="Times New Roman"/>
              </w:rPr>
            </w:pPr>
          </w:p>
          <w:p w:rsidR="00FA705D" w:rsidRDefault="004C43C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részleges beszámítás/elismerés lehetséges</w:t>
            </w:r>
          </w:p>
          <w:p w:rsidR="00FA705D" w:rsidRDefault="00FA7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FA705D">
        <w:trPr>
          <w:trHeight w:val="271"/>
        </w:trPr>
        <w:tc>
          <w:tcPr>
            <w:tcW w:w="9270" w:type="dxa"/>
            <w:gridSpan w:val="5"/>
          </w:tcPr>
          <w:p w:rsidR="00FA705D" w:rsidRDefault="004C43CB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Tanórán kívüli konzultációs időpontok és helyszín:</w:t>
            </w:r>
          </w:p>
          <w:p w:rsidR="00FA705D" w:rsidRDefault="00FA705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705D" w:rsidRDefault="00FA705D">
      <w:pPr>
        <w:ind w:firstLine="0"/>
        <w:rPr>
          <w:rFonts w:ascii="Times New Roman" w:eastAsia="Times New Roman" w:hAnsi="Times New Roman" w:cs="Times New Roman"/>
        </w:rPr>
      </w:pPr>
    </w:p>
    <w:p w:rsidR="00FA705D" w:rsidRDefault="00FA705D">
      <w:pPr>
        <w:ind w:firstLine="0"/>
        <w:rPr>
          <w:rFonts w:ascii="Times New Roman" w:eastAsia="Times New Roman" w:hAnsi="Times New Roman" w:cs="Times New Roman"/>
        </w:rPr>
      </w:pPr>
    </w:p>
    <w:sectPr w:rsidR="00FA705D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7F9"/>
    <w:multiLevelType w:val="multilevel"/>
    <w:tmpl w:val="6EEA89A6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Cmsor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Cmsor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Cmsor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Cmsor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Cmsor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Cmsor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Cmsor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Cmsor9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948C2"/>
    <w:multiLevelType w:val="multilevel"/>
    <w:tmpl w:val="F8A2E02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5D"/>
    <w:rsid w:val="004B183D"/>
    <w:rsid w:val="004C43CB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ED52-6F3D-4F38-B165-F48CB02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rPr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4A30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ltanmol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7QmY7vzajd4wDp+7TB+TPQPR4g==">AMUW2mWVnjzGZz3IGyDQQT144cJdL0U42Kyd+u+rWMr9+p/ByEGZf8uOZ6EWuPQI4ZM8HmbuCqWREkCliIR4365GUMqrTfAlUDyuh+QacFI4wnIiSGa5IWc=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Erzsebet Csereklye</dc:creator>
  <cp:lastModifiedBy>Danyi Anna</cp:lastModifiedBy>
  <cp:revision>3</cp:revision>
  <dcterms:created xsi:type="dcterms:W3CDTF">2021-01-21T08:27:00Z</dcterms:created>
  <dcterms:modified xsi:type="dcterms:W3CDTF">2021-01-23T19:35:00Z</dcterms:modified>
</cp:coreProperties>
</file>