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DB" w:rsidRDefault="00090BBB">
      <w:pPr>
        <w:ind w:firstLine="0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Kurzusleírás (tematika)</w:t>
      </w:r>
    </w:p>
    <w:tbl>
      <w:tblPr>
        <w:tblStyle w:val="a"/>
        <w:tblW w:w="9266" w:type="dxa"/>
        <w:tblInd w:w="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12"/>
        <w:gridCol w:w="1560"/>
        <w:gridCol w:w="1560"/>
        <w:gridCol w:w="2263"/>
      </w:tblGrid>
      <w:tr w:rsidR="006310DB">
        <w:trPr>
          <w:trHeight w:val="567"/>
        </w:trPr>
        <w:tc>
          <w:tcPr>
            <w:tcW w:w="926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pStyle w:val="Cmsor3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Kurzus neve: Animációs produkció 2. - </w:t>
            </w:r>
            <w:r>
              <w:rPr>
                <w:b w:val="0"/>
              </w:rPr>
              <w:t>Filmelemzés</w:t>
            </w:r>
            <w:r>
              <w:rPr>
                <w:b w:val="0"/>
              </w:rPr>
              <w:br/>
            </w:r>
          </w:p>
        </w:tc>
      </w:tr>
      <w:tr w:rsidR="006310DB">
        <w:trPr>
          <w:trHeight w:val="567"/>
        </w:trPr>
        <w:tc>
          <w:tcPr>
            <w:tcW w:w="926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pStyle w:val="Cmsor3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A kurzus oktatója/i, </w:t>
            </w:r>
            <w:proofErr w:type="gramStart"/>
            <w:r>
              <w:rPr>
                <w:b w:val="0"/>
              </w:rPr>
              <w:t>elérhetősége(</w:t>
            </w:r>
            <w:proofErr w:type="gramEnd"/>
            <w:r>
              <w:rPr>
                <w:b w:val="0"/>
              </w:rPr>
              <w:t>i): Keszthelyi Kinga, kingakeszthelyi@yahoo.com</w:t>
            </w:r>
          </w:p>
        </w:tc>
      </w:tr>
      <w:tr w:rsidR="006310DB">
        <w:trPr>
          <w:trHeight w:val="705"/>
        </w:trPr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Kód: M-AN-201</w:t>
            </w: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Tantervi hely:</w:t>
            </w:r>
          </w:p>
          <w:p w:rsidR="006310DB" w:rsidRDefault="006310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Javasolt félév:</w:t>
            </w: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Kredit:15</w:t>
            </w: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Tanóraszám:60</w:t>
            </w:r>
          </w:p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Egyéni hallgatói munkaóra: 90</w:t>
            </w:r>
          </w:p>
        </w:tc>
      </w:tr>
      <w:tr w:rsidR="006310DB">
        <w:trPr>
          <w:trHeight w:val="705"/>
        </w:trPr>
        <w:tc>
          <w:tcPr>
            <w:tcW w:w="1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Kapcsolt kódok:</w:t>
            </w:r>
          </w:p>
        </w:tc>
        <w:tc>
          <w:tcPr>
            <w:tcW w:w="1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Típus: előadás/gyakorlat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Szab.vál-ként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felvehető-e? nem</w:t>
            </w: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Szab.vál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esetén sajátos előfeltételek:</w:t>
            </w:r>
          </w:p>
          <w:p w:rsidR="006310DB" w:rsidRDefault="006310DB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6310DB">
        <w:trPr>
          <w:trHeight w:val="705"/>
        </w:trPr>
        <w:tc>
          <w:tcPr>
            <w:tcW w:w="926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kurzus kapcsolatai (előfeltételek, párhuzamosságok): nincs</w:t>
            </w:r>
          </w:p>
        </w:tc>
      </w:tr>
      <w:tr w:rsidR="006310DB">
        <w:trPr>
          <w:trHeight w:val="903"/>
        </w:trPr>
        <w:tc>
          <w:tcPr>
            <w:tcW w:w="926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A kurzus célja és alapelvei: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kurzus célja, hogy a hallgatók az elmúlt évek filmművészetének kiemelkedő alkotásain keresztül átfogó tudást szerezzenek a különböző műfajok trendjeiről, problémafelvetéseiről és újításairól; a tárgyalt filmeken keresztül pedig fejlődjön (szóbeli és írás</w:t>
            </w:r>
            <w:r>
              <w:rPr>
                <w:rFonts w:ascii="Times New Roman" w:eastAsia="Times New Roman" w:hAnsi="Times New Roman" w:cs="Times New Roman"/>
              </w:rPr>
              <w:t xml:space="preserve">beli) elemzőkészségük, kritikai érzékük és filmes tájékozottságuk. A kurzus során egész estés animációs filmeket, animációs dokumentumfilmeket, animációs sorozatokat, dokumentumfilmeket és játékfilmeket elemzünk.  </w:t>
            </w: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310DB">
        <w:trPr>
          <w:trHeight w:val="2499"/>
        </w:trPr>
        <w:tc>
          <w:tcPr>
            <w:tcW w:w="9266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Tanulási eredmények (fejlesztendő szakmai és általános kompetenciák):</w:t>
            </w: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Tudás: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Tervezési metodika (design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thinking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 innovációs módszerek, analitikus gondolkodás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Magas szintű szakelméleti tudás: filmtörténet, filmdramaturgia, filmelemzés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Produceri </w:t>
            </w:r>
            <w:r>
              <w:rPr>
                <w:rFonts w:ascii="Times New Roman" w:eastAsia="Times New Roman" w:hAnsi="Times New Roman" w:cs="Times New Roman"/>
              </w:rPr>
              <w:t>ismeretek: ismeri az animációs produkciók gazdasági kontextusa, szerzői jogi és etikai normáit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Kiterjedt és magas szintű elméleti és gyakorlati szakmai ismeretek az animációs produkciók koncepciójának létrehozásához szükséges fejlesztési metódusokról, t</w:t>
            </w:r>
            <w:r>
              <w:rPr>
                <w:rFonts w:ascii="Times New Roman" w:eastAsia="Times New Roman" w:hAnsi="Times New Roman" w:cs="Times New Roman"/>
              </w:rPr>
              <w:t>artalomfejlesztési módszerekről (lásd: témakörök), azok alkalmazása saját önálló projektben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Kiterjedt és magas szintű elméleti és gyakorlati szakmai ismeretek az animációs produkciók kivitelezéséhez szükséges technológiákról, az animációs produkciók a t</w:t>
            </w:r>
            <w:r>
              <w:rPr>
                <w:rFonts w:ascii="Times New Roman" w:eastAsia="Times New Roman" w:hAnsi="Times New Roman" w:cs="Times New Roman"/>
              </w:rPr>
              <w:t xml:space="preserve">émaköröknél felsorolt részfolyamatairól (plánozás,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story-board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lay-out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animatic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previz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vágás), azok alkalmazása saját önálló projektben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Film és zene, animáció és hang,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dialógfelvétel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szinkron, zörejezés, keverés 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Látványtervezés (karakter-, figu</w:t>
            </w:r>
            <w:r>
              <w:rPr>
                <w:rFonts w:ascii="Times New Roman" w:eastAsia="Times New Roman" w:hAnsi="Times New Roman" w:cs="Times New Roman"/>
              </w:rPr>
              <w:t>ratervezés, képi absztrakció)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szakelméleti tájékozottság tradicionális (Rövidfilm, absztrakt animáció, installáció,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music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video) és újabb keletű ill.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emergens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(AR, VR, 360 fokos fejlesztés, univerzum építés, interaktív tartalom) animációs formák, műfajo</w:t>
            </w:r>
            <w:r>
              <w:rPr>
                <w:rFonts w:ascii="Times New Roman" w:eastAsia="Times New Roman" w:hAnsi="Times New Roman" w:cs="Times New Roman"/>
              </w:rPr>
              <w:t xml:space="preserve">k és platformok, valamint technológiák kérdéséiben - az elméleti tudás gyakorlati használata a kutatómunkában és projektfejlesztésben 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kortárs hazai és nemzetközi animációs szakmai környezet és a zajló szakmai folyamatok ismerete, szaktörténeti kontextu</w:t>
            </w:r>
            <w:r>
              <w:rPr>
                <w:rFonts w:ascii="Times New Roman" w:eastAsia="Times New Roman" w:hAnsi="Times New Roman" w:cs="Times New Roman"/>
              </w:rPr>
              <w:t>sba helyezése, ehhez kapcsolódóan saját tevékenység szakmai kontextusba helyezése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önálló szakmai program megfogalmazása, kapcsolódó projekt-koncepció kidolgozása és kivitelezése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6310DB" w:rsidRDefault="006310D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Képesség: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1.Önállóan képes projektek kialakítására, fejlesztésére és megvalósítására 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képes prezentációk készítésére és előadására, képes a retorika,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pitching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eszközeit használni 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képes kifinomult szakmai kommunikációra, vitára - szakmai kérdésekben árnyalt vél</w:t>
            </w:r>
            <w:r>
              <w:rPr>
                <w:rFonts w:ascii="Times New Roman" w:eastAsia="Times New Roman" w:hAnsi="Times New Roman" w:cs="Times New Roman"/>
              </w:rPr>
              <w:t xml:space="preserve">emény megfogalmazására, képviseletére, amellett való érvelésre 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4. képes a tervezési és gyártási munkafolyamatok hatékony menedzselésére 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saját szakmai programot képes megfogalmazni, tágabb szakmai kontextusba helyezni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6310DB" w:rsidRDefault="006310D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Attitűd: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Szellemi szabadság,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autenticitás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kísérletező és vállalkozó kedv az alkotótevékenységben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Törekvés eredeti,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önazonos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tartalmak létrehozására, szakmai kihívások újszerű megválaszolására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Aktivitás új mozgóképes-, animációs módszerek és technikák kere</w:t>
            </w:r>
            <w:r>
              <w:rPr>
                <w:rFonts w:ascii="Times New Roman" w:eastAsia="Times New Roman" w:hAnsi="Times New Roman" w:cs="Times New Roman"/>
              </w:rPr>
              <w:t>sésében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Motiváltság saját munkák önmenedzselésében, valamint azok a külvilág felé való ismertetésében 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Kiforrott kritikai érzék, valamint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diszkurzív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hozzáállás saját munkájához kapcsolódó szakmai területekkel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Erős igény a saját alkotótevékenység m</w:t>
            </w:r>
            <w:r>
              <w:rPr>
                <w:rFonts w:ascii="Times New Roman" w:eastAsia="Times New Roman" w:hAnsi="Times New Roman" w:cs="Times New Roman"/>
              </w:rPr>
              <w:t>agas szintű minőség- és értékorientáltságára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left="276" w:right="21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Nyitottság és tudatosság a szakma gyakorlási- és továbbképzési lehetőségeinek bővítésében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6310DB" w:rsidRDefault="006310D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Autonómia és felelősségvállalás: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autonómia és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önreflexivitás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alkotói tevékenységben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Felelősségvállalás önálló </w:t>
            </w:r>
            <w:r>
              <w:rPr>
                <w:rFonts w:ascii="Times New Roman" w:eastAsia="Times New Roman" w:hAnsi="Times New Roman" w:cs="Times New Roman"/>
              </w:rPr>
              <w:t>kérdésfelvetéseinek szakmai megválaszolásában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Tudatos szerepvállalás az animációs projektekben szakmai képességek, habitusoknak megfelelően</w:t>
            </w:r>
          </w:p>
          <w:p w:rsidR="006310DB" w:rsidRDefault="00090BBB">
            <w:pPr>
              <w:tabs>
                <w:tab w:val="left" w:pos="2377"/>
                <w:tab w:val="left" w:pos="4641"/>
                <w:tab w:val="left" w:pos="6905"/>
              </w:tabs>
              <w:ind w:left="276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Kezdeményező alkotó, aki a szakmai közösség tagjaként felelősséget vállal közösségéért, szakterülete értékeiért és etikai normáiért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310DB">
        <w:trPr>
          <w:trHeight w:val="806"/>
        </w:trPr>
        <w:tc>
          <w:tcPr>
            <w:tcW w:w="9266" w:type="dxa"/>
            <w:gridSpan w:val="5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lastRenderedPageBreak/>
              <w:t>A kurzus keretében feldolgozandó témakörök, témák: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kurzus keretében a hallgatók az elemzett filmeken keresztül el</w:t>
            </w:r>
            <w:r>
              <w:rPr>
                <w:rFonts w:ascii="Times New Roman" w:eastAsia="Times New Roman" w:hAnsi="Times New Roman" w:cs="Times New Roman"/>
              </w:rPr>
              <w:t>sajátítják a kortárs filmművészet alkotásainak szakszerű elemzési szempontjait és módszereit. Ezért az elemzett filmek válogatásának egyik szempontja, hogy minél több friss és érvényes rendezői látásmódot, világlátást, témaválasztást ismerjenek meg lehetől</w:t>
            </w:r>
            <w:r>
              <w:rPr>
                <w:rFonts w:ascii="Times New Roman" w:eastAsia="Times New Roman" w:hAnsi="Times New Roman" w:cs="Times New Roman"/>
              </w:rPr>
              <w:t xml:space="preserve">eg olyan filmeken keresztül, amelyeket az elmúlt években mutattak be, vagy még nem kerültek magyar forgalmazásra. A kurzus fejleszti az önálló véleményformálás és megfogalmazás képességét, illetve arra törekszik, hogy a hallgatók a sokféle kortárs művészi </w:t>
            </w:r>
            <w:r>
              <w:rPr>
                <w:rFonts w:ascii="Times New Roman" w:eastAsia="Times New Roman" w:hAnsi="Times New Roman" w:cs="Times New Roman"/>
              </w:rPr>
              <w:t xml:space="preserve">szemléletet képesek legyenek beépíteni saját kreatív munkájukba. Az egyéni prezentációs gyakorlatok, az órán kívüli munka és az írásbeli feladatok a hallgatók önálló felkészülését, kritikai érzékét, elemzőkészségét, szakmai tájékozottságát fejlesztik.  </w:t>
            </w: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310DB">
        <w:trPr>
          <w:trHeight w:val="675"/>
        </w:trPr>
        <w:tc>
          <w:tcPr>
            <w:tcW w:w="926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Tanulásszervezés/folyamatszervezés sajátosságai: </w:t>
            </w:r>
          </w:p>
          <w:p w:rsidR="006310DB" w:rsidRDefault="00090BBB">
            <w:pPr>
              <w:ind w:left="134" w:hanging="134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A kurzus menete, az egyes foglalkozások jellege és ütemezésük:</w:t>
            </w: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Tervezett filmek listája:</w:t>
            </w:r>
          </w:p>
          <w:p w:rsidR="006310DB" w:rsidRDefault="006310D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Egész estés animációs filmek:</w:t>
            </w: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Tomm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Moore-Ross Stewart: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Wolfwalkers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(2020)</w:t>
            </w: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Mariusz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Wilczynski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Town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(2020)</w:t>
            </w: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Aurel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Josep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(2020)</w:t>
            </w:r>
          </w:p>
          <w:p w:rsidR="006310DB" w:rsidRDefault="006310D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Animációs sorozatok:</w:t>
            </w: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Kreif Zsuzsa: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Candide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kalandjai (1-13. epizód) (2018)</w:t>
            </w: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BoJack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Horseman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(egyes epizódok) (2014-2020)</w:t>
            </w:r>
          </w:p>
          <w:p w:rsidR="006310DB" w:rsidRDefault="006310D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Animációs dokumentumfilmek:</w:t>
            </w: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Amit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Dutta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Wittgenstein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Plays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Marcel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Duchamp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Philosophy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(2020)</w:t>
            </w: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Jennifer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Zheng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Tough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(2017)</w:t>
            </w:r>
          </w:p>
          <w:p w:rsidR="006310DB" w:rsidRDefault="006310D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Játékfilmek:</w:t>
            </w: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Kantemir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Balagov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Nyakigláb (2019)</w:t>
            </w: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Kelly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Reichardt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First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(2019)</w:t>
            </w: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Lucrecia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Martel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Zama (2017)</w:t>
            </w: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Albert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XIV. Laj</w:t>
            </w:r>
            <w:r>
              <w:rPr>
                <w:rFonts w:ascii="Times New Roman" w:eastAsia="Times New Roman" w:hAnsi="Times New Roman" w:cs="Times New Roman"/>
              </w:rPr>
              <w:t>os halála (2016)</w:t>
            </w: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Eliza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Hitmann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Rarely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Sometimes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Always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(2020)</w:t>
            </w: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Jean-Pierre és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Dardenne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Az ifjú Ahmed (2019)</w:t>
            </w: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Pedro Costa: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Vitalina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Varela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(2019)</w:t>
            </w:r>
          </w:p>
          <w:p w:rsidR="006310DB" w:rsidRDefault="006310D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Dokumentumfilm:</w:t>
            </w:r>
          </w:p>
          <w:p w:rsidR="006310DB" w:rsidRDefault="00090BB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Ulrike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Ottinger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Chamisso árnyéka (2016)</w:t>
            </w:r>
          </w:p>
          <w:p w:rsidR="006310DB" w:rsidRDefault="006310DB">
            <w:pPr>
              <w:ind w:left="134" w:right="355" w:hanging="8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A hallgatók tennivalói, feladatai:</w:t>
            </w:r>
          </w:p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kurzus során fontos elvárás, hogy a hallgatók egy-egy órára felkészülten érkezzenek, vagyis az előre kiadott filmes listán szereplő címeket a megadott menetrend szerint előre megismerjék.</w:t>
            </w:r>
          </w:p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Emellett aktívan vegyenek részt az órákon, illetve az órai és órán</w:t>
            </w:r>
            <w:r>
              <w:rPr>
                <w:rFonts w:ascii="Times New Roman" w:eastAsia="Times New Roman" w:hAnsi="Times New Roman" w:cs="Times New Roman"/>
              </w:rPr>
              <w:t xml:space="preserve"> kívüli feladatokat magas szinten oldják meg.</w:t>
            </w: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tanulás környezete: online</w:t>
            </w: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310DB">
        <w:trPr>
          <w:trHeight w:val="653"/>
        </w:trPr>
        <w:tc>
          <w:tcPr>
            <w:tcW w:w="9266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Értékelés:</w:t>
            </w: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Teljesítendő követelmények:</w:t>
            </w:r>
          </w:p>
          <w:p w:rsidR="006310DB" w:rsidRDefault="00090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6" w:right="355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Aktív, folyamatos jelenlét a konzultációkon, foglalkozásokon, a feladatok határidőre, az elvárt színvonalon történő megoldása.</w:t>
            </w: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ind w:left="276" w:firstLine="0"/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Értékelés módja: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prezentáció, egyéni- és csoportmunka, írásbeli feladatok</w:t>
            </w:r>
          </w:p>
          <w:p w:rsidR="006310DB" w:rsidRDefault="00090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  <w:p w:rsidR="006310DB" w:rsidRDefault="006310DB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ind w:firstLine="0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Az értékelés szempontjai: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10DB" w:rsidRDefault="00090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feladatmegoldások minősége (Tartalom) </w:t>
            </w:r>
          </w:p>
          <w:p w:rsidR="006310DB" w:rsidRDefault="00090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aktív részvétel az órákon; feladatok határidőre, az elvárt                 </w:t>
            </w:r>
          </w:p>
          <w:p w:rsidR="006310DB" w:rsidRDefault="00090B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színvonalon történő megoldása (Szorgalom) </w:t>
            </w:r>
          </w:p>
          <w:p w:rsidR="006310DB" w:rsidRDefault="006310DB">
            <w:pPr>
              <w:rPr>
                <w:rFonts w:ascii="Times New Roman" w:eastAsia="Times New Roman" w:hAnsi="Times New Roman" w:cs="Times New Roman"/>
              </w:rPr>
            </w:pP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310DB">
        <w:trPr>
          <w:trHeight w:val="653"/>
        </w:trPr>
        <w:tc>
          <w:tcPr>
            <w:tcW w:w="9266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Az érdemjegy kiszámítása: szorgalom, fejlődés, tartalom / egyenlő arányban, számtani átlag alapján, az Animációs Produkció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részjegyeként</w:t>
            </w: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310DB">
        <w:trPr>
          <w:trHeight w:val="1351"/>
        </w:trPr>
        <w:tc>
          <w:tcPr>
            <w:tcW w:w="926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Kötelező irodalom: </w:t>
            </w: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Ajánlott irodalom:</w:t>
            </w:r>
          </w:p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Voltaire: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Candide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(Európa, Budapest, 2018)</w:t>
            </w:r>
          </w:p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Antonio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Benedetto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Zama (NYRB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Random House, 2016) – angol nyelven</w:t>
            </w:r>
          </w:p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Szvetlana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Alekszijevics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Nők a tűzvonalban (Helikon, Budapest, 2020) </w:t>
            </w:r>
          </w:p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Iványi-Bitter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Brigitta: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Kovásznai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(Vince Kiadó, Budapest, 2010)</w:t>
            </w:r>
          </w:p>
          <w:p w:rsidR="006310DB" w:rsidRDefault="00090BBB">
            <w:pPr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Jonathan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Rosenbaum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Goodbye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Cinema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Hello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Cinephilia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Film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(University of Chicago Press, 2010) – angol nyelven</w:t>
            </w:r>
          </w:p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David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Bordwell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Elbeszélés a játékfilmben (Magyar Filmintézet, Budapest, 1996) </w:t>
            </w:r>
          </w:p>
          <w:p w:rsidR="006310DB" w:rsidRDefault="00090BBB">
            <w:pPr>
              <w:ind w:firstLine="0"/>
            </w:pPr>
            <w:r>
              <w:rPr>
                <w:rFonts w:ascii="Times New Roman" w:eastAsia="Times New Roman" w:hAnsi="Times New Roman" w:cs="Times New Roman"/>
                <w:color w:val="000005"/>
                <w:highlight w:val="white"/>
              </w:rPr>
              <w:t xml:space="preserve">Andrew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5"/>
                <w:highlight w:val="white"/>
              </w:rPr>
              <w:t>Osmond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Spirited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Away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(BFI Film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</w:t>
            </w:r>
            <w:r>
              <w:rPr>
                <w:rFonts w:ascii="Times New Roman" w:eastAsia="Times New Roman" w:hAnsi="Times New Roman" w:cs="Times New Roman"/>
              </w:rPr>
              <w:t>sics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2008) – angol nyelven</w:t>
            </w:r>
          </w:p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Kemper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Story,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critical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(BFI Film Classic, 2015) – angol nyelven</w:t>
            </w:r>
          </w:p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“Pedro Costa: 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Unwritten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Story”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Nowe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Horyzonty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2018) – angol nyelven</w:t>
            </w: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</w:p>
        </w:tc>
      </w:tr>
      <w:tr w:rsidR="006310DB">
        <w:trPr>
          <w:trHeight w:val="1351"/>
        </w:trPr>
        <w:tc>
          <w:tcPr>
            <w:tcW w:w="926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Egyéb információk:</w:t>
            </w:r>
          </w:p>
        </w:tc>
      </w:tr>
      <w:tr w:rsidR="006310DB">
        <w:trPr>
          <w:trHeight w:val="2539"/>
        </w:trPr>
        <w:tc>
          <w:tcPr>
            <w:tcW w:w="9266" w:type="dxa"/>
            <w:gridSpan w:val="5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Máshol/korábban szerzett tudás elismerése/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validác</w:t>
            </w:r>
            <w:r>
              <w:rPr>
                <w:rFonts w:ascii="Times New Roman" w:eastAsia="Times New Roman" w:hAnsi="Times New Roman" w:cs="Times New Roman"/>
              </w:rPr>
              <w:t>iós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elv:</w:t>
            </w:r>
          </w:p>
          <w:p w:rsidR="006310DB" w:rsidRDefault="006310DB">
            <w:pPr>
              <w:ind w:left="348" w:firstLine="0"/>
              <w:rPr>
                <w:rFonts w:ascii="Times New Roman" w:eastAsia="Times New Roman" w:hAnsi="Times New Roman" w:cs="Times New Roman"/>
              </w:rPr>
            </w:pPr>
          </w:p>
          <w:p w:rsidR="006310DB" w:rsidRDefault="00090BB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részleges beszámítás/elismerés lehetséges</w:t>
            </w:r>
          </w:p>
          <w:p w:rsidR="006310DB" w:rsidRDefault="00631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firstLine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</w:tr>
      <w:tr w:rsidR="006310DB">
        <w:trPr>
          <w:trHeight w:val="271"/>
        </w:trPr>
        <w:tc>
          <w:tcPr>
            <w:tcW w:w="926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310DB" w:rsidRDefault="00090BBB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Tanórán kívüli konzultációs időpontok és helyszín:</w:t>
            </w:r>
          </w:p>
          <w:p w:rsidR="006310DB" w:rsidRDefault="006310DB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10DB" w:rsidRDefault="006310DB">
      <w:pPr>
        <w:ind w:firstLine="0"/>
        <w:rPr>
          <w:rFonts w:ascii="Times New Roman" w:eastAsia="Times New Roman" w:hAnsi="Times New Roman" w:cs="Times New Roman"/>
        </w:rPr>
      </w:pPr>
    </w:p>
    <w:p w:rsidR="006310DB" w:rsidRDefault="006310DB">
      <w:pPr>
        <w:ind w:firstLine="0"/>
      </w:pPr>
    </w:p>
    <w:sectPr w:rsidR="006310DB">
      <w:pgSz w:w="11906" w:h="16838"/>
      <w:pgMar w:top="851" w:right="985" w:bottom="993" w:left="147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3FBD"/>
    <w:multiLevelType w:val="multilevel"/>
    <w:tmpl w:val="EA602A0A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DB"/>
    <w:rsid w:val="00090BBB"/>
    <w:rsid w:val="0063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CBEBB-A41C-4B16-8775-ABA185AA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spacing w:before="240" w:after="60"/>
      <w:ind w:firstLine="0"/>
      <w:jc w:val="left"/>
      <w:outlineLvl w:val="0"/>
    </w:pPr>
    <w:rPr>
      <w:rFonts w:ascii="Arial" w:eastAsia="Arial" w:hAnsi="Arial" w:cs="Arial"/>
      <w:b/>
      <w:sz w:val="28"/>
      <w:szCs w:val="28"/>
    </w:rPr>
  </w:style>
  <w:style w:type="paragraph" w:styleId="Cmsor2">
    <w:name w:val="heading 2"/>
    <w:basedOn w:val="Norml"/>
    <w:next w:val="Norml"/>
    <w:pPr>
      <w:keepNext/>
      <w:spacing w:before="240" w:after="60"/>
      <w:ind w:firstLine="0"/>
      <w:jc w:val="left"/>
      <w:outlineLvl w:val="1"/>
    </w:pPr>
    <w:rPr>
      <w:rFonts w:ascii="Arial" w:eastAsia="Arial" w:hAnsi="Arial" w:cs="Arial"/>
      <w:b/>
      <w:i/>
    </w:rPr>
  </w:style>
  <w:style w:type="paragraph" w:styleId="Cmsor3">
    <w:name w:val="heading 3"/>
    <w:basedOn w:val="Norml"/>
    <w:next w:val="Norml"/>
    <w:pPr>
      <w:keepNext/>
      <w:spacing w:before="240" w:after="60"/>
      <w:ind w:firstLine="0"/>
      <w:jc w:val="left"/>
      <w:outlineLvl w:val="2"/>
    </w:pPr>
    <w:rPr>
      <w:rFonts w:ascii="Times New Roman" w:eastAsia="Times New Roman" w:hAnsi="Times New Roman" w:cs="Times New Roman"/>
      <w:b/>
    </w:rPr>
  </w:style>
  <w:style w:type="paragraph" w:styleId="Cmsor4">
    <w:name w:val="heading 4"/>
    <w:basedOn w:val="Norml"/>
    <w:next w:val="Norml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 w:cs="Times New Roman"/>
      <w:b/>
      <w:i/>
    </w:rPr>
  </w:style>
  <w:style w:type="paragraph" w:styleId="Cmsor5">
    <w:name w:val="heading 5"/>
    <w:basedOn w:val="Norml"/>
    <w:next w:val="Norml"/>
    <w:pPr>
      <w:spacing w:before="240" w:after="60"/>
      <w:ind w:firstLine="0"/>
      <w:jc w:val="left"/>
      <w:outlineLvl w:val="4"/>
    </w:pPr>
    <w:rPr>
      <w:rFonts w:ascii="Arial" w:eastAsia="Arial" w:hAnsi="Arial" w:cs="Arial"/>
      <w:sz w:val="22"/>
      <w:szCs w:val="22"/>
    </w:rPr>
  </w:style>
  <w:style w:type="paragraph" w:styleId="Cmsor6">
    <w:name w:val="heading 6"/>
    <w:basedOn w:val="Norml"/>
    <w:next w:val="Norml"/>
    <w:pPr>
      <w:spacing w:before="240" w:after="60"/>
      <w:ind w:firstLine="0"/>
      <w:jc w:val="left"/>
      <w:outlineLvl w:val="5"/>
    </w:pPr>
    <w:rPr>
      <w:rFonts w:ascii="Arial" w:eastAsia="Arial" w:hAnsi="Arial" w:cs="Arial"/>
      <w:i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spacing w:before="240" w:after="60" w:line="276" w:lineRule="auto"/>
      <w:ind w:firstLine="284"/>
      <w:jc w:val="center"/>
    </w:pPr>
    <w:rPr>
      <w:rFonts w:ascii="Cambria" w:eastAsia="Cambria" w:hAnsi="Cambria" w:cs="Cambria"/>
      <w:b/>
      <w:color w:val="0070C0"/>
      <w:sz w:val="32"/>
      <w:szCs w:val="32"/>
    </w:rPr>
  </w:style>
  <w:style w:type="paragraph" w:styleId="Alcm">
    <w:name w:val="Subtitle"/>
    <w:basedOn w:val="Norml"/>
    <w:next w:val="Norm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69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6894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Danyi Anna</dc:creator>
  <cp:lastModifiedBy>Danyi Anna</cp:lastModifiedBy>
  <cp:revision>2</cp:revision>
  <dcterms:created xsi:type="dcterms:W3CDTF">2021-01-29T08:20:00Z</dcterms:created>
  <dcterms:modified xsi:type="dcterms:W3CDTF">2021-01-29T08:20:00Z</dcterms:modified>
</cp:coreProperties>
</file>