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77" w:rsidRDefault="00F128E4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 xml:space="preserve"> Kurzusleírás (tematika)</w:t>
      </w:r>
    </w:p>
    <w:tbl>
      <w:tblPr>
        <w:tblStyle w:val="a"/>
        <w:tblW w:w="9270" w:type="dxa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1911"/>
        <w:gridCol w:w="1560"/>
        <w:gridCol w:w="1559"/>
        <w:gridCol w:w="2268"/>
      </w:tblGrid>
      <w:tr w:rsidR="00B14577">
        <w:trPr>
          <w:trHeight w:val="560"/>
        </w:trPr>
        <w:tc>
          <w:tcPr>
            <w:tcW w:w="9270" w:type="dxa"/>
            <w:gridSpan w:val="5"/>
          </w:tcPr>
          <w:p w:rsidR="00B14577" w:rsidRDefault="00F128E4">
            <w:pPr>
              <w:pStyle w:val="Cmsor3"/>
              <w:spacing w:before="6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Kurzus neve: </w:t>
            </w:r>
            <w:r>
              <w:rPr>
                <w:rFonts w:ascii="Arial" w:eastAsia="Arial" w:hAnsi="Arial" w:cs="Arial"/>
                <w:sz w:val="22"/>
                <w:szCs w:val="22"/>
              </w:rPr>
              <w:t>Tervezőgrafika elmélet és történet 1.</w:t>
            </w:r>
          </w:p>
        </w:tc>
      </w:tr>
      <w:tr w:rsidR="00B14577">
        <w:trPr>
          <w:trHeight w:val="560"/>
        </w:trPr>
        <w:tc>
          <w:tcPr>
            <w:tcW w:w="9270" w:type="dxa"/>
            <w:gridSpan w:val="5"/>
          </w:tcPr>
          <w:p w:rsidR="00B14577" w:rsidRDefault="00F128E4">
            <w:pPr>
              <w:pStyle w:val="Cmsor3"/>
              <w:spacing w:before="6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A kurzus oktatója/i, </w:t>
            </w:r>
            <w:proofErr w:type="gramStart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elérhetősége(</w:t>
            </w:r>
            <w:proofErr w:type="gramEnd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i): Nagy István</w:t>
            </w:r>
          </w:p>
        </w:tc>
      </w:tr>
      <w:tr w:rsidR="00B14577">
        <w:trPr>
          <w:trHeight w:val="700"/>
        </w:trPr>
        <w:tc>
          <w:tcPr>
            <w:tcW w:w="1972" w:type="dxa"/>
          </w:tcPr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Kód:</w:t>
            </w:r>
          </w:p>
          <w:p w:rsidR="00B14577" w:rsidRPr="00F128E4" w:rsidRDefault="00F128E4">
            <w:pPr>
              <w:ind w:firstLine="0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128E4">
              <w:rPr>
                <w:rFonts w:ascii="Arial" w:eastAsia="Arial" w:hAnsi="Arial" w:cs="Arial"/>
                <w:b/>
                <w:sz w:val="22"/>
                <w:szCs w:val="22"/>
              </w:rPr>
              <w:t>B-TG-204</w:t>
            </w:r>
            <w:bookmarkStart w:id="1" w:name="_GoBack"/>
            <w:bookmarkEnd w:id="1"/>
          </w:p>
        </w:tc>
        <w:tc>
          <w:tcPr>
            <w:tcW w:w="1911" w:type="dxa"/>
          </w:tcPr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Tantervi hely:</w:t>
            </w:r>
          </w:p>
          <w:p w:rsidR="00B14577" w:rsidRPr="00F128E4" w:rsidRDefault="00F128E4">
            <w:pP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128E4">
              <w:rPr>
                <w:rFonts w:ascii="Arial" w:eastAsia="Arial" w:hAnsi="Arial" w:cs="Arial"/>
                <w:b/>
                <w:sz w:val="22"/>
                <w:szCs w:val="22"/>
              </w:rPr>
              <w:t>BA</w:t>
            </w:r>
          </w:p>
        </w:tc>
        <w:tc>
          <w:tcPr>
            <w:tcW w:w="1560" w:type="dxa"/>
          </w:tcPr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Javasolt félév: </w:t>
            </w:r>
            <w:r w:rsidRPr="00F128E4">
              <w:rPr>
                <w:rFonts w:ascii="Arial" w:eastAsia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559" w:type="dxa"/>
          </w:tcPr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Kredit:</w:t>
            </w:r>
          </w:p>
          <w:p w:rsidR="00B14577" w:rsidRPr="00F128E4" w:rsidRDefault="00F128E4">
            <w:pPr>
              <w:ind w:firstLine="0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128E4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Tanóraszám: 48</w:t>
            </w:r>
          </w:p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Egyéni hallgatói munkaóra: 102</w:t>
            </w:r>
          </w:p>
        </w:tc>
      </w:tr>
      <w:tr w:rsidR="00B14577">
        <w:trPr>
          <w:trHeight w:val="700"/>
        </w:trPr>
        <w:tc>
          <w:tcPr>
            <w:tcW w:w="1972" w:type="dxa"/>
          </w:tcPr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Kapcsolt kódok:</w:t>
            </w:r>
          </w:p>
        </w:tc>
        <w:tc>
          <w:tcPr>
            <w:tcW w:w="1911" w:type="dxa"/>
          </w:tcPr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Típus: </w:t>
            </w: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elmélet-orientált</w:t>
            </w:r>
          </w:p>
          <w:p w:rsidR="00B14577" w:rsidRDefault="00B14577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Szab.vál-ként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felvehető-e?</w:t>
            </w:r>
          </w:p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Nem</w:t>
            </w:r>
          </w:p>
        </w:tc>
        <w:tc>
          <w:tcPr>
            <w:tcW w:w="3827" w:type="dxa"/>
            <w:gridSpan w:val="2"/>
          </w:tcPr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Szab.vál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esetén sajátos előfeltételek:</w:t>
            </w:r>
          </w:p>
          <w:p w:rsidR="00B14577" w:rsidRDefault="00B14577">
            <w:pPr>
              <w:tabs>
                <w:tab w:val="left" w:pos="448"/>
                <w:tab w:val="left" w:pos="2173"/>
              </w:tabs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14577">
        <w:trPr>
          <w:trHeight w:val="700"/>
        </w:trPr>
        <w:tc>
          <w:tcPr>
            <w:tcW w:w="9270" w:type="dxa"/>
            <w:gridSpan w:val="5"/>
          </w:tcPr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kurzus kapcsolatai (előfeltételek, párhuzamosságok): </w:t>
            </w:r>
          </w:p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előfeltétel: </w:t>
            </w:r>
          </w:p>
        </w:tc>
      </w:tr>
      <w:tr w:rsidR="00B14577">
        <w:trPr>
          <w:trHeight w:val="900"/>
        </w:trPr>
        <w:tc>
          <w:tcPr>
            <w:tcW w:w="9270" w:type="dxa"/>
            <w:gridSpan w:val="5"/>
          </w:tcPr>
          <w:p w:rsidR="00B14577" w:rsidRDefault="00F128E4">
            <w:pPr>
              <w:pStyle w:val="Cm"/>
            </w:pPr>
            <w:bookmarkStart w:id="2" w:name="_30j0zll" w:colFirst="0" w:colLast="0"/>
            <w:bookmarkEnd w:id="2"/>
            <w:r>
              <w:t xml:space="preserve">A kurzus célja és alapelvei: </w:t>
            </w:r>
          </w:p>
          <w:p w:rsidR="00B14577" w:rsidRDefault="00F128E4">
            <w:pPr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grafikai tervezéshez szükséges elméleti alaptudás kialakítása és fejlesztése</w:t>
            </w:r>
          </w:p>
          <w:p w:rsidR="00B14577" w:rsidRDefault="00F128E4">
            <w:pPr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tervezőgrafika történetének megismerése, a legfontosabb folyamatok, összefüggések, alkotók és alkotói módszerek megismerése</w:t>
            </w:r>
          </w:p>
          <w:p w:rsidR="00B14577" w:rsidRDefault="00F128E4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tervezőgrafika definiálása a design és művészet s</w:t>
            </w:r>
            <w:r>
              <w:rPr>
                <w:rFonts w:ascii="Arial" w:eastAsia="Arial" w:hAnsi="Arial" w:cs="Arial"/>
                <w:sz w:val="22"/>
                <w:szCs w:val="22"/>
              </w:rPr>
              <w:t>zakterületén belül</w:t>
            </w:r>
          </w:p>
          <w:p w:rsidR="00B14577" w:rsidRDefault="00F128E4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tervezési folyamathoz kapcsolódó tervezés-módszertani tudás megszerzése</w:t>
            </w:r>
          </w:p>
          <w:p w:rsidR="00B14577" w:rsidRDefault="00B14577">
            <w:pPr>
              <w:ind w:left="720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14577">
        <w:trPr>
          <w:trHeight w:val="248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B14577" w:rsidRDefault="00F128E4">
            <w:pPr>
              <w:pStyle w:val="Cm"/>
            </w:pPr>
            <w:bookmarkStart w:id="3" w:name="_1fob9te" w:colFirst="0" w:colLast="0"/>
            <w:bookmarkEnd w:id="3"/>
            <w:r>
              <w:t>Tanulási eredmények (fejlesztendő szakmai és általános kompetenciák):</w:t>
            </w:r>
          </w:p>
          <w:p w:rsidR="00B14577" w:rsidRDefault="00B14577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B14577" w:rsidRDefault="00F128E4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Tudás: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B14577" w:rsidRDefault="00F128E4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Alapszinten ismeri a tervezőgrafika alapvető kérdéseit, módszereit és eredményeit</w:t>
            </w:r>
          </w:p>
          <w:p w:rsidR="00B14577" w:rsidRDefault="00F128E4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Alapvető ismeretekkel rendelkezik a tervezőgrafika főbb elméleteiről, alapelveiről, stíluskorszakairól és irányzatairól, fontosabb alkotásairól</w:t>
            </w:r>
          </w:p>
          <w:p w:rsidR="00B14577" w:rsidRDefault="00F128E4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Ismeri a tervezőgrafika alapvető tervezéselméleti koncepcióit és múltbéli, illetve kortárs alkalmazási módjait</w:t>
            </w:r>
          </w:p>
          <w:p w:rsidR="00B14577" w:rsidRDefault="00F128E4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sz w:val="22"/>
                <w:szCs w:val="22"/>
              </w:rPr>
              <w:t>ltalános ismeretekkel rendelkezik a tervezőgrafika területén alkalmazott tradicionális, klasszikus és innovatív anyagokról, médiumokról, eszközökről, technikákról, tisztában van a főbb technológiai, gyártási, előállítási folyamatokkal és a tevékenységek vé</w:t>
            </w:r>
            <w:r>
              <w:rPr>
                <w:rFonts w:ascii="Arial" w:eastAsia="Arial" w:hAnsi="Arial" w:cs="Arial"/>
                <w:sz w:val="22"/>
                <w:szCs w:val="22"/>
              </w:rPr>
              <w:t>gzésének körülményeivel</w:t>
            </w:r>
          </w:p>
          <w:p w:rsidR="00B14577" w:rsidRDefault="00F128E4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Érti a szaknyelvet és a hatékony (írásos, szóbeli és vizuális) szakmai kommunikációt anyanyelvén és legalább egy idegen nyelven</w:t>
            </w:r>
          </w:p>
          <w:p w:rsidR="00B14577" w:rsidRDefault="00F128E4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Tájékozott a tervezőgrafika terén végzett kutatás, forrásgyűjtés alapjául szolgáló módszerekben, eljárás</w:t>
            </w:r>
            <w:r>
              <w:rPr>
                <w:rFonts w:ascii="Arial" w:eastAsia="Arial" w:hAnsi="Arial" w:cs="Arial"/>
                <w:sz w:val="22"/>
                <w:szCs w:val="22"/>
              </w:rPr>
              <w:t>okban, technikákban.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B14577" w:rsidRDefault="00B14577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B14577" w:rsidRDefault="00F128E4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Képesség: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B14577" w:rsidRDefault="00F128E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Hatékonyan képes használni a tevékenysége alapjául szolgáló technikai, anyagi és információs forrásokat</w:t>
            </w:r>
          </w:p>
          <w:p w:rsidR="00B14577" w:rsidRDefault="00F128E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Jól-informált véleményt alkot tervezőgrafikai koncepciókról és megoldásokról.</w:t>
            </w:r>
          </w:p>
          <w:p w:rsidR="00B14577" w:rsidRDefault="00F128E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Releváns adatokat gyűjt és interpretál tervezői/alkotói koncepciók fejlesztéséhez</w:t>
            </w:r>
          </w:p>
          <w:p w:rsidR="00B14577" w:rsidRDefault="00F128E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Képes alkalmazni szakmája etikai normáit</w:t>
            </w:r>
          </w:p>
          <w:p w:rsidR="00B14577" w:rsidRDefault="00F128E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Célzottan és kritikusan képes kommunikálni mások és saját tervezői/alkotói koncepcióiról, megoldásairól és folyamatairól társaival, s</w:t>
            </w:r>
            <w:r>
              <w:rPr>
                <w:rFonts w:ascii="Arial" w:eastAsia="Arial" w:hAnsi="Arial" w:cs="Arial"/>
                <w:sz w:val="22"/>
                <w:szCs w:val="22"/>
              </w:rPr>
              <w:t>zakmája szakembereivel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generalista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és specialista kollégákkal, konzulensekkel), vezetőkkel és felhasználókkal</w:t>
            </w:r>
          </w:p>
          <w:p w:rsidR="00B14577" w:rsidRDefault="00F128E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Saját szakmája alapelveit képes szakmáján kívüliek számára kifejteni</w:t>
            </w:r>
          </w:p>
          <w:p w:rsidR="00B14577" w:rsidRDefault="00F128E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Képes megítélni saját pozícióját a tervezőgrafika mesterségben, tipikus téma</w:t>
            </w:r>
            <w:r>
              <w:rPr>
                <w:rFonts w:ascii="Arial" w:eastAsia="Arial" w:hAnsi="Arial" w:cs="Arial"/>
                <w:sz w:val="22"/>
                <w:szCs w:val="22"/>
              </w:rPr>
              <w:t>területeiben, vitáiban</w:t>
            </w:r>
          </w:p>
          <w:p w:rsidR="00B14577" w:rsidRDefault="00F128E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tanulmányai során szerzett tapasztalatokra támaszkodva képes a tudásanyag analízisére, feldolgozására és kezelésére, valamint képes saját művészeti ágán belül kritikai hozzáállást érvényesíteni</w:t>
            </w:r>
          </w:p>
          <w:p w:rsidR="00B14577" w:rsidRDefault="00F128E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Releváns adatokat gyűjt és interpretá</w:t>
            </w:r>
            <w:r>
              <w:rPr>
                <w:rFonts w:ascii="Arial" w:eastAsia="Arial" w:hAnsi="Arial" w:cs="Arial"/>
                <w:sz w:val="22"/>
                <w:szCs w:val="22"/>
              </w:rPr>
              <w:t>l tervezői/alkotói koncepciók fejlesztéséhez</w:t>
            </w:r>
          </w:p>
          <w:p w:rsidR="00B14577" w:rsidRDefault="00F128E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Képes kutatásokat feldolgozni, felügyelettel kutatást folytatni</w:t>
            </w:r>
          </w:p>
          <w:p w:rsidR="00B14577" w:rsidRDefault="00B14577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B14577" w:rsidRDefault="00F128E4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Attitűd: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B14577" w:rsidRDefault="00F128E4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Kritikai megértéssel viszonyul saját művészeti ágának történeti és kortárs alkotásaihoz, valamint előadói gyakorlataihoz</w:t>
            </w:r>
          </w:p>
          <w:p w:rsidR="00B14577" w:rsidRDefault="00F128E4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Nyitott az új i</w:t>
            </w: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smeretekre, módszerekre, kreatív, dinamikus megvalósítási lehetőségekre.</w:t>
            </w:r>
          </w:p>
          <w:p w:rsidR="00B14577" w:rsidRDefault="00F128E4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Kritikai megértéssel viszonyul saját művészeti ágának történeti és kortárs alkotásaihoz, valamint előadói gyakorlataihoz</w:t>
            </w:r>
          </w:p>
          <w:p w:rsidR="00B14577" w:rsidRDefault="00F128E4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Nyitott az új ismeretekre, módszerekre, kreatív, dinamikus meg</w:t>
            </w: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valósítási lehetőségekre.</w:t>
            </w:r>
          </w:p>
          <w:p w:rsidR="00B14577" w:rsidRDefault="00F128E4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Törekszik szakmája etikai normáinak betartására</w:t>
            </w:r>
          </w:p>
          <w:p w:rsidR="00B14577" w:rsidRDefault="00F128E4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Tudatosan gondolkodik alkotásainak társadalmi vonatkozásairól</w:t>
            </w:r>
          </w:p>
          <w:p w:rsidR="00B14577" w:rsidRDefault="00F128E4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 xml:space="preserve">Alkotó / tervező munkájában – ahol az releváns – az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interdiszciplinaritásra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 xml:space="preserve"> törekszik</w:t>
            </w:r>
          </w:p>
          <w:p w:rsidR="00B14577" w:rsidRDefault="00F128E4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Tudatos a tervezőgrafika szociális</w:t>
            </w: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, kulturális, művészeti, politikai, ökológiai, gazdasági és etikai kontextusban elfoglalt pozíciójával kapcsolatban.</w:t>
            </w:r>
          </w:p>
          <w:p w:rsidR="00B14577" w:rsidRDefault="00B14577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B14577" w:rsidRDefault="00F128E4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Autonómia és felelősségvállalás:</w:t>
            </w:r>
          </w:p>
          <w:p w:rsidR="00B14577" w:rsidRDefault="00F128E4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Felismeri tervező / alkotó művészeti tevékenységének közösségi és társadalmi hatásait</w:t>
            </w:r>
          </w:p>
          <w:p w:rsidR="00B14577" w:rsidRDefault="00F128E4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Elfogadja és hitelesen közvetíti szakterületének társadalmi szerepét, értékeit</w:t>
            </w:r>
          </w:p>
          <w:p w:rsidR="00B14577" w:rsidRDefault="00F128E4">
            <w:pPr>
              <w:tabs>
                <w:tab w:val="left" w:pos="2377"/>
                <w:tab w:val="left" w:pos="4641"/>
                <w:tab w:val="left" w:pos="6905"/>
              </w:tabs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B14577">
        <w:trPr>
          <w:trHeight w:val="800"/>
        </w:trPr>
        <w:tc>
          <w:tcPr>
            <w:tcW w:w="9270" w:type="dxa"/>
            <w:gridSpan w:val="5"/>
            <w:tcBorders>
              <w:top w:val="single" w:sz="4" w:space="0" w:color="000000"/>
            </w:tcBorders>
          </w:tcPr>
          <w:p w:rsidR="00B14577" w:rsidRDefault="00F128E4">
            <w:pPr>
              <w:pStyle w:val="Cm"/>
            </w:pPr>
            <w:bookmarkStart w:id="4" w:name="_3znysh7" w:colFirst="0" w:colLast="0"/>
            <w:bookmarkEnd w:id="4"/>
            <w:r>
              <w:lastRenderedPageBreak/>
              <w:t xml:space="preserve">A kurzus keretében feldolgozandó témakörök, témák: </w:t>
            </w:r>
          </w:p>
          <w:p w:rsidR="00B14577" w:rsidRDefault="00F128E4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Nemzetközi tervezőgrafika történet a historizmus időszakától a modernizmus megjelenéséig: historizmus, szecesszió,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arts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crafts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dada, futurizmus,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object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poster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háborús grafika,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konstruktivzmus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bauhaus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első grafikai lapok, könyvek, új médiumok, betűtípusok</w:t>
            </w:r>
          </w:p>
          <w:p w:rsidR="00B14577" w:rsidRDefault="00F128E4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Tervezésmódszertani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ismeretek: Vizuális identitás</w:t>
            </w:r>
          </w:p>
          <w:p w:rsidR="00B14577" w:rsidRDefault="00F128E4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Tervezésmódszertani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ismeretek: Kommunikáció design</w:t>
            </w:r>
          </w:p>
          <w:p w:rsidR="00B14577" w:rsidRDefault="00F128E4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Műfaji és stiláris ismeretek</w:t>
            </w:r>
          </w:p>
          <w:p w:rsidR="00B14577" w:rsidRDefault="00B14577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14577">
        <w:trPr>
          <w:trHeight w:val="660"/>
        </w:trPr>
        <w:tc>
          <w:tcPr>
            <w:tcW w:w="9270" w:type="dxa"/>
            <w:gridSpan w:val="5"/>
          </w:tcPr>
          <w:p w:rsidR="00B14577" w:rsidRDefault="00F128E4">
            <w:pPr>
              <w:pStyle w:val="Cm"/>
            </w:pPr>
            <w:bookmarkStart w:id="5" w:name="_2et92p0" w:colFirst="0" w:colLast="0"/>
            <w:bookmarkEnd w:id="5"/>
            <w:r>
              <w:t xml:space="preserve">Tanulásszervezés/folyamatszervezés sajátosságai: </w:t>
            </w:r>
          </w:p>
          <w:p w:rsidR="00B14577" w:rsidRDefault="00F128E4">
            <w:pPr>
              <w:spacing w:before="120" w:after="60"/>
              <w:ind w:left="134" w:hanging="134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A kurzus menete, az egyes foglalkozások jellege és ütemezésük (több tanár esetén akár a tanári közreműködés megosztását is jelezve:</w:t>
            </w:r>
          </w:p>
          <w:p w:rsidR="00B14577" w:rsidRDefault="00F128E4">
            <w:pPr>
              <w:spacing w:before="120" w:after="6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Szaktörténeti rész 50 %</w:t>
            </w:r>
          </w:p>
          <w:p w:rsidR="00B14577" w:rsidRDefault="00F128E4">
            <w:pPr>
              <w:numPr>
                <w:ilvl w:val="0"/>
                <w:numId w:val="15"/>
              </w:numPr>
              <w:spacing w:before="120"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Előadás heti </w:t>
            </w:r>
            <w:r>
              <w:rPr>
                <w:rFonts w:ascii="Arial" w:eastAsia="Arial" w:hAnsi="Arial" w:cs="Arial"/>
                <w:sz w:val="22"/>
                <w:szCs w:val="22"/>
              </w:rPr>
              <w:t>rendszerességgel, azonos időben (előadás, szeminárium)</w:t>
            </w:r>
          </w:p>
          <w:p w:rsidR="00B14577" w:rsidRDefault="00F128E4">
            <w:pPr>
              <w:spacing w:before="120" w:after="6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Szakelméleti rész 50 %</w:t>
            </w:r>
          </w:p>
          <w:p w:rsidR="00B14577" w:rsidRDefault="00F128E4">
            <w:pPr>
              <w:numPr>
                <w:ilvl w:val="0"/>
                <w:numId w:val="15"/>
              </w:numPr>
              <w:spacing w:before="120"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Tervezésmódszertani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specifikumok tematikus blokkokban (előadás, szeminárium)</w:t>
            </w:r>
          </w:p>
          <w:p w:rsidR="00B14577" w:rsidRDefault="00B14577">
            <w:pPr>
              <w:spacing w:before="120" w:after="60"/>
              <w:ind w:left="720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B14577" w:rsidRDefault="00F128E4">
            <w:pPr>
              <w:spacing w:after="6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hallgatók tennivalói, feladatai:</w:t>
            </w:r>
          </w:p>
          <w:p w:rsidR="00B14577" w:rsidRDefault="00F128E4">
            <w:pPr>
              <w:numPr>
                <w:ilvl w:val="0"/>
                <w:numId w:val="9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Szaktörténeti rész: felkészülés egy témából, prezentáció készítése és kiselőadás, felkészülés a félévzáró vizsgára.</w:t>
            </w:r>
          </w:p>
          <w:p w:rsidR="00B14577" w:rsidRDefault="00F128E4">
            <w:pPr>
              <w:numPr>
                <w:ilvl w:val="0"/>
                <w:numId w:val="9"/>
              </w:numPr>
              <w:spacing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Szakelméleti rész: felkészülés egy témából, prezentáció készítése és kiselőadás.</w:t>
            </w:r>
          </w:p>
          <w:p w:rsidR="00B14577" w:rsidRDefault="00B14577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tanulás környezete: </w:t>
            </w:r>
          </w:p>
          <w:p w:rsidR="00B14577" w:rsidRDefault="00F128E4">
            <w:pPr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szemináriumi/előadóterem</w:t>
            </w:r>
          </w:p>
          <w:p w:rsidR="00B14577" w:rsidRDefault="00B14577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14577">
        <w:trPr>
          <w:trHeight w:val="64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B14577" w:rsidRDefault="00F128E4">
            <w:pPr>
              <w:pStyle w:val="Cm"/>
            </w:pPr>
            <w:bookmarkStart w:id="6" w:name="_tyjcwt" w:colFirst="0" w:colLast="0"/>
            <w:bookmarkEnd w:id="6"/>
            <w:r>
              <w:lastRenderedPageBreak/>
              <w:t>Értékelés:</w:t>
            </w:r>
          </w:p>
          <w:p w:rsidR="00B14577" w:rsidRDefault="00B14577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Teljesítendő követelmények:</w:t>
            </w:r>
          </w:p>
          <w:p w:rsidR="00B14577" w:rsidRDefault="00F128E4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Szaktörténeti rész: min. 70% jelenlét, szeminárium/prezentáció és félévzáró írásbeli vizsga.</w:t>
            </w:r>
          </w:p>
          <w:p w:rsidR="00B14577" w:rsidRDefault="00F128E4">
            <w:pPr>
              <w:numPr>
                <w:ilvl w:val="0"/>
                <w:numId w:val="7"/>
              </w:numPr>
              <w:spacing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Szakelméleti rész: min. 70% jelenlét, prezentáció, teszt.</w:t>
            </w:r>
          </w:p>
          <w:p w:rsidR="00B14577" w:rsidRDefault="00B14577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B14577" w:rsidRDefault="00F128E4">
            <w:pPr>
              <w:ind w:left="276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Értékelés módja: </w:t>
            </w:r>
          </w:p>
          <w:p w:rsidR="00B14577" w:rsidRDefault="00F128E4">
            <w:pPr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Szaktörténeti rész: írásbeli vizsga.</w:t>
            </w:r>
          </w:p>
          <w:p w:rsidR="00B14577" w:rsidRDefault="00F128E4">
            <w:pPr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Szakelméleti rész: tematikus teszt.</w:t>
            </w:r>
          </w:p>
          <w:p w:rsidR="00B14577" w:rsidRDefault="00B14577">
            <w:pPr>
              <w:ind w:left="276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Az értékelés szempontjai: </w:t>
            </w:r>
          </w:p>
          <w:p w:rsidR="00B14577" w:rsidRDefault="00F128E4">
            <w:pPr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aktív jelenlét az órákon</w:t>
            </w:r>
          </w:p>
          <w:p w:rsidR="00B14577" w:rsidRDefault="00F128E4">
            <w:pPr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prezentációk tartalma, szakmai minősége</w:t>
            </w:r>
          </w:p>
          <w:p w:rsidR="00B14577" w:rsidRDefault="00F128E4">
            <w:pPr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felkészülés alapossága</w:t>
            </w:r>
          </w:p>
          <w:p w:rsidR="00B14577" w:rsidRDefault="00F128E4">
            <w:pPr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teszt és vizsga szakmai érdemjegye</w:t>
            </w:r>
          </w:p>
          <w:p w:rsidR="00B14577" w:rsidRDefault="00B14577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14577">
        <w:trPr>
          <w:trHeight w:val="64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B14577" w:rsidRDefault="00F128E4">
            <w:pPr>
              <w:pStyle w:val="Cm"/>
            </w:pPr>
            <w:bookmarkStart w:id="7" w:name="_3dy6vkm" w:colFirst="0" w:colLast="0"/>
            <w:bookmarkEnd w:id="7"/>
            <w:r>
              <w:t xml:space="preserve">Az érdemjegy kiszámítása:  </w:t>
            </w:r>
          </w:p>
          <w:p w:rsidR="00B14577" w:rsidRDefault="00F128E4">
            <w:pPr>
              <w:numPr>
                <w:ilvl w:val="0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Szaktörténet vizsga 60 %</w:t>
            </w:r>
          </w:p>
          <w:p w:rsidR="00B14577" w:rsidRDefault="00F128E4">
            <w:pPr>
              <w:numPr>
                <w:ilvl w:val="0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Prezentációk 20%</w:t>
            </w:r>
          </w:p>
          <w:p w:rsidR="00B14577" w:rsidRDefault="00F128E4">
            <w:pPr>
              <w:numPr>
                <w:ilvl w:val="0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Szakelmélet teszt 20%.</w:t>
            </w:r>
          </w:p>
          <w:p w:rsidR="00B14577" w:rsidRDefault="00B14577">
            <w:pPr>
              <w:ind w:left="720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14577">
        <w:trPr>
          <w:trHeight w:val="1340"/>
        </w:trPr>
        <w:tc>
          <w:tcPr>
            <w:tcW w:w="9270" w:type="dxa"/>
            <w:gridSpan w:val="5"/>
          </w:tcPr>
          <w:p w:rsidR="00B14577" w:rsidRDefault="00F128E4">
            <w:pPr>
              <w:pStyle w:val="Cm"/>
            </w:pPr>
            <w:bookmarkStart w:id="8" w:name="_1t3h5sf" w:colFirst="0" w:colLast="0"/>
            <w:bookmarkEnd w:id="8"/>
            <w:r>
              <w:t xml:space="preserve">Kötelező irodalom: </w:t>
            </w:r>
          </w:p>
          <w:p w:rsidR="00B14577" w:rsidRDefault="00F128E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Meggs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'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History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Design, Philip B.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Meggs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Alston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W.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Purvis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Wiley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2011</w:t>
            </w:r>
          </w:p>
          <w:p w:rsidR="00B14577" w:rsidRDefault="00F128E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Design: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Concise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History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Richard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Hollis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Thames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&amp; Hudson, 2002</w:t>
            </w:r>
          </w:p>
          <w:p w:rsidR="00B14577" w:rsidRDefault="00F128E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Design: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History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Stephen J.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z w:val="22"/>
                <w:szCs w:val="22"/>
              </w:rPr>
              <w:t>kilson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Laurence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King, 2019</w:t>
            </w:r>
          </w:p>
          <w:p w:rsidR="00B14577" w:rsidRDefault="00F128E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Referenced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: A Visual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Guide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Language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Applications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History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Armin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Bryony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Gomez-Palacio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Rockport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Publishers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2011</w:t>
            </w:r>
          </w:p>
          <w:p w:rsidR="00B14577" w:rsidRDefault="00F128E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Theory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Context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), Meredith Davi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Thames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&amp; Hudson, 2012</w:t>
            </w:r>
          </w:p>
          <w:p w:rsidR="00B14577" w:rsidRDefault="00F128E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World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History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Design, Victor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Margolin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Bloomsbury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Academic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2017</w:t>
            </w:r>
          </w:p>
          <w:p w:rsidR="00B14577" w:rsidRDefault="00F128E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Bibliographic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,100 Classic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Books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Jason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Godfrey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Laurence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King, 2009</w:t>
            </w:r>
          </w:p>
          <w:p w:rsidR="00B14577" w:rsidRDefault="00B14577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B14577" w:rsidRDefault="00F128E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Ajánlott irodalom:</w:t>
            </w:r>
          </w:p>
          <w:p w:rsidR="00B14577" w:rsidRDefault="00F128E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Book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Books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500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Years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Innovation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Mathieu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Lommen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Frans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Janssen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Paul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Dijstelberge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Adriaan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Plak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Johan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Zoete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Jan Werner,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Lesley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Monfils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Thames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&amp; Hudson, 2012</w:t>
            </w:r>
          </w:p>
          <w:p w:rsidR="00B14577" w:rsidRDefault="00F128E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before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Designers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The Printer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Designer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Cr</w:t>
            </w:r>
            <w:r>
              <w:rPr>
                <w:rFonts w:ascii="Arial" w:eastAsia="Arial" w:hAnsi="Arial" w:cs="Arial"/>
                <w:sz w:val="22"/>
                <w:szCs w:val="22"/>
              </w:rPr>
              <w:t>aftsman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1700 - 1914, David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Jury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Thames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&amp; Hudson, 2012</w:t>
            </w:r>
          </w:p>
          <w:p w:rsidR="00B14577" w:rsidRDefault="00F128E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Visual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History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Type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Paul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McNeil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Laurence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King, 2017</w:t>
            </w:r>
          </w:p>
          <w:p w:rsidR="00B14577" w:rsidRDefault="00F128E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Visionaries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Caroline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Roberts,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Laurence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King, 2015</w:t>
            </w:r>
          </w:p>
          <w:p w:rsidR="00B14577" w:rsidRDefault="00F128E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Impact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1.0: Design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magazines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journals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periodicals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[1922–73], Tony Bro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ok &amp; Adrian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Shaughnessy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[Unit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Editions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27] 2018</w:t>
            </w:r>
          </w:p>
          <w:p w:rsidR="00B14577" w:rsidRDefault="00F128E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Impact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2.0: Design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magazines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journals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periodicals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[1974–2016], Tony Brook &amp; Adrian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Shaughnessy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[Unit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Editions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28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]  2018</w:t>
            </w:r>
            <w:proofErr w:type="gramEnd"/>
          </w:p>
          <w:p w:rsidR="00B14577" w:rsidRDefault="00F128E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Merz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Emigré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Beyond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Avant-Garde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Magazine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Twentieth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CenturyStev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Heller,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Phaidon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2003</w:t>
            </w:r>
          </w:p>
          <w:p w:rsidR="00B14577" w:rsidRDefault="00B14577">
            <w:pPr>
              <w:spacing w:after="12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14577">
        <w:trPr>
          <w:trHeight w:val="1340"/>
        </w:trPr>
        <w:tc>
          <w:tcPr>
            <w:tcW w:w="9270" w:type="dxa"/>
            <w:gridSpan w:val="5"/>
          </w:tcPr>
          <w:p w:rsidR="00B14577" w:rsidRDefault="00F128E4">
            <w:pPr>
              <w:pStyle w:val="Cm"/>
            </w:pPr>
            <w:bookmarkStart w:id="9" w:name="_4d34og8" w:colFirst="0" w:colLast="0"/>
            <w:bookmarkEnd w:id="9"/>
            <w:r>
              <w:lastRenderedPageBreak/>
              <w:t>Egyéb információk:</w:t>
            </w:r>
          </w:p>
        </w:tc>
      </w:tr>
      <w:tr w:rsidR="00B14577">
        <w:trPr>
          <w:trHeight w:val="1000"/>
        </w:trPr>
        <w:tc>
          <w:tcPr>
            <w:tcW w:w="9270" w:type="dxa"/>
            <w:gridSpan w:val="5"/>
            <w:tcBorders>
              <w:top w:val="single" w:sz="4" w:space="0" w:color="000000"/>
            </w:tcBorders>
          </w:tcPr>
          <w:p w:rsidR="00B14577" w:rsidRDefault="00F128E4">
            <w:pPr>
              <w:pStyle w:val="Cm"/>
            </w:pPr>
            <w:bookmarkStart w:id="10" w:name="_2s8eyo1" w:colFirst="0" w:colLast="0"/>
            <w:bookmarkEnd w:id="10"/>
            <w:r>
              <w:t xml:space="preserve">Máshol/korábban szerzett tudás elismerése/ </w:t>
            </w:r>
            <w:proofErr w:type="spellStart"/>
            <w:r>
              <w:t>validációs</w:t>
            </w:r>
            <w:proofErr w:type="spellEnd"/>
            <w:r>
              <w:t xml:space="preserve"> elv:</w:t>
            </w:r>
          </w:p>
        </w:tc>
      </w:tr>
      <w:tr w:rsidR="00B14577">
        <w:trPr>
          <w:trHeight w:val="260"/>
        </w:trPr>
        <w:tc>
          <w:tcPr>
            <w:tcW w:w="9270" w:type="dxa"/>
            <w:gridSpan w:val="5"/>
          </w:tcPr>
          <w:p w:rsidR="00B14577" w:rsidRDefault="00F128E4">
            <w:pPr>
              <w:pStyle w:val="Cm"/>
            </w:pPr>
            <w:bookmarkStart w:id="11" w:name="_17dp8vu" w:colFirst="0" w:colLast="0"/>
            <w:bookmarkEnd w:id="11"/>
            <w:r>
              <w:t>Tanórán kívüli konzultációs időpontok és helyszín:</w:t>
            </w:r>
          </w:p>
          <w:p w:rsidR="00B14577" w:rsidRDefault="00B14577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14577" w:rsidRDefault="00B14577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p w:rsidR="00B14577" w:rsidRDefault="00B14577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sectPr w:rsidR="00B14577">
      <w:headerReference w:type="default" r:id="rId7"/>
      <w:pgSz w:w="11900" w:h="16840"/>
      <w:pgMar w:top="851" w:right="985" w:bottom="993" w:left="147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28E4">
      <w:r>
        <w:separator/>
      </w:r>
    </w:p>
  </w:endnote>
  <w:endnote w:type="continuationSeparator" w:id="0">
    <w:p w:rsidR="00000000" w:rsidRDefault="00F1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28E4">
      <w:r>
        <w:separator/>
      </w:r>
    </w:p>
  </w:footnote>
  <w:footnote w:type="continuationSeparator" w:id="0">
    <w:p w:rsidR="00000000" w:rsidRDefault="00F12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577" w:rsidRDefault="00F128E4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MOME Tervezőgrafika BA szak</w:t>
    </w:r>
  </w:p>
  <w:p w:rsidR="00B14577" w:rsidRDefault="00F128E4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  <w:r>
      <w:pict>
        <v:rect id="_x0000_i1025" style="width:0;height:1.5pt" o:hralign="center" o:hrstd="t" o:hr="t" fillcolor="#a0a0a0" stroked="f"/>
      </w:pict>
    </w:r>
  </w:p>
  <w:p w:rsidR="00B14577" w:rsidRDefault="00B14577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</w:p>
  <w:p w:rsidR="00B14577" w:rsidRDefault="00B14577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976"/>
    <w:multiLevelType w:val="multilevel"/>
    <w:tmpl w:val="6D886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282429"/>
    <w:multiLevelType w:val="multilevel"/>
    <w:tmpl w:val="F2F67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A51606"/>
    <w:multiLevelType w:val="multilevel"/>
    <w:tmpl w:val="21562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A25BAB"/>
    <w:multiLevelType w:val="multilevel"/>
    <w:tmpl w:val="D33AE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CC17C4"/>
    <w:multiLevelType w:val="multilevel"/>
    <w:tmpl w:val="FC525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5A2E06"/>
    <w:multiLevelType w:val="multilevel"/>
    <w:tmpl w:val="CA383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E5137B"/>
    <w:multiLevelType w:val="multilevel"/>
    <w:tmpl w:val="FA0887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1B4F7C"/>
    <w:multiLevelType w:val="multilevel"/>
    <w:tmpl w:val="2206A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9C6405"/>
    <w:multiLevelType w:val="multilevel"/>
    <w:tmpl w:val="B44A1E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7D30EE"/>
    <w:multiLevelType w:val="multilevel"/>
    <w:tmpl w:val="9594F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1439A3"/>
    <w:multiLevelType w:val="multilevel"/>
    <w:tmpl w:val="CCA6B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31B51C6"/>
    <w:multiLevelType w:val="multilevel"/>
    <w:tmpl w:val="E20CA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2F5835"/>
    <w:multiLevelType w:val="multilevel"/>
    <w:tmpl w:val="3DC41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DC3CF0"/>
    <w:multiLevelType w:val="multilevel"/>
    <w:tmpl w:val="E13A0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D5A5561"/>
    <w:multiLevelType w:val="multilevel"/>
    <w:tmpl w:val="508A3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14"/>
  </w:num>
  <w:num w:numId="11">
    <w:abstractNumId w:val="2"/>
  </w:num>
  <w:num w:numId="12">
    <w:abstractNumId w:val="8"/>
  </w:num>
  <w:num w:numId="13">
    <w:abstractNumId w:val="9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77"/>
    <w:rsid w:val="00B14577"/>
    <w:rsid w:val="00F1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7A05A75-C951-420D-8EA4-8046023F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/>
      <w:ind w:firstLine="0"/>
      <w:jc w:val="left"/>
      <w:outlineLvl w:val="0"/>
    </w:pPr>
    <w:rPr>
      <w:rFonts w:ascii="Arial" w:eastAsia="Arial" w:hAnsi="Arial" w:cs="Arial"/>
      <w:b/>
      <w:sz w:val="28"/>
      <w:szCs w:val="28"/>
    </w:rPr>
  </w:style>
  <w:style w:type="paragraph" w:styleId="Cmsor2">
    <w:name w:val="heading 2"/>
    <w:basedOn w:val="Norml"/>
    <w:next w:val="Norml"/>
    <w:pPr>
      <w:keepNext/>
      <w:spacing w:before="240" w:after="60"/>
      <w:ind w:firstLine="0"/>
      <w:jc w:val="left"/>
      <w:outlineLvl w:val="1"/>
    </w:pPr>
    <w:rPr>
      <w:rFonts w:ascii="Arial" w:eastAsia="Arial" w:hAnsi="Arial" w:cs="Arial"/>
      <w:b/>
      <w:i/>
    </w:rPr>
  </w:style>
  <w:style w:type="paragraph" w:styleId="Cmsor3">
    <w:name w:val="heading 3"/>
    <w:basedOn w:val="Norml"/>
    <w:next w:val="Norml"/>
    <w:pPr>
      <w:keepNext/>
      <w:spacing w:before="240" w:after="60"/>
      <w:ind w:firstLine="0"/>
      <w:jc w:val="left"/>
      <w:outlineLvl w:val="2"/>
    </w:pPr>
    <w:rPr>
      <w:rFonts w:ascii="Times New Roman" w:eastAsia="Times New Roman" w:hAnsi="Times New Roman" w:cs="Times New Roman"/>
      <w:b/>
    </w:rPr>
  </w:style>
  <w:style w:type="paragraph" w:styleId="Cmsor4">
    <w:name w:val="heading 4"/>
    <w:basedOn w:val="Norml"/>
    <w:next w:val="Norml"/>
    <w:pPr>
      <w:keepNext/>
      <w:spacing w:before="240" w:after="60"/>
      <w:ind w:firstLine="0"/>
      <w:jc w:val="left"/>
      <w:outlineLvl w:val="3"/>
    </w:pPr>
    <w:rPr>
      <w:rFonts w:ascii="Times New Roman" w:eastAsia="Times New Roman" w:hAnsi="Times New Roman" w:cs="Times New Roman"/>
      <w:b/>
      <w:i/>
    </w:rPr>
  </w:style>
  <w:style w:type="paragraph" w:styleId="Cmsor5">
    <w:name w:val="heading 5"/>
    <w:basedOn w:val="Norml"/>
    <w:next w:val="Norml"/>
    <w:pPr>
      <w:spacing w:before="240" w:after="60"/>
      <w:ind w:firstLine="0"/>
      <w:jc w:val="left"/>
      <w:outlineLvl w:val="4"/>
    </w:pPr>
    <w:rPr>
      <w:rFonts w:ascii="Arial" w:eastAsia="Arial" w:hAnsi="Arial" w:cs="Arial"/>
      <w:sz w:val="22"/>
      <w:szCs w:val="22"/>
    </w:rPr>
  </w:style>
  <w:style w:type="paragraph" w:styleId="Cmsor6">
    <w:name w:val="heading 6"/>
    <w:basedOn w:val="Norml"/>
    <w:next w:val="Norml"/>
    <w:pPr>
      <w:spacing w:before="240" w:after="60"/>
      <w:ind w:firstLine="0"/>
      <w:jc w:val="left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spacing w:before="60"/>
      <w:ind w:firstLine="0"/>
      <w:jc w:val="left"/>
    </w:pPr>
    <w:rPr>
      <w:rFonts w:ascii="Arial" w:eastAsia="Arial" w:hAnsi="Arial" w:cs="Arial"/>
      <w:sz w:val="22"/>
      <w:szCs w:val="2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Danyi Anna</cp:lastModifiedBy>
  <cp:revision>2</cp:revision>
  <dcterms:created xsi:type="dcterms:W3CDTF">2020-12-13T19:11:00Z</dcterms:created>
  <dcterms:modified xsi:type="dcterms:W3CDTF">2020-12-13T19:11:00Z</dcterms:modified>
</cp:coreProperties>
</file>