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07" w:rsidRDefault="009A0E07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:rsidR="009A0E07" w:rsidRDefault="00BE02AA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9A0E07">
        <w:trPr>
          <w:trHeight w:val="567"/>
        </w:trPr>
        <w:tc>
          <w:tcPr>
            <w:tcW w:w="9498" w:type="dxa"/>
            <w:gridSpan w:val="5"/>
          </w:tcPr>
          <w:p w:rsidR="009A0E07" w:rsidRDefault="00BE02AA">
            <w:pPr>
              <w:spacing w:after="0" w:line="240" w:lineRule="auto"/>
              <w:rPr>
                <w:b/>
              </w:rPr>
            </w:pPr>
            <w:bookmarkStart w:id="1" w:name="_30j0zll" w:colFirst="0" w:colLast="0"/>
            <w:bookmarkEnd w:id="1"/>
            <w:proofErr w:type="gramStart"/>
            <w:r>
              <w:t>Kurzus</w:t>
            </w:r>
            <w:proofErr w:type="gramEnd"/>
            <w:r>
              <w:t xml:space="preserve"> neve: Tárgyalkotás 5./</w:t>
            </w:r>
            <w:bookmarkStart w:id="2" w:name="_GoBack"/>
            <w:bookmarkEnd w:id="2"/>
            <w:r>
              <w:t xml:space="preserve">Üvegtervezés 5. </w:t>
            </w:r>
            <w:r>
              <w:rPr>
                <w:b/>
              </w:rPr>
              <w:t>Szabadon választott témakörben bizonyítsa tervezői képességeit, az üvegtervezés szakirányon belül megszerzett ismereteinek használatával.</w:t>
            </w:r>
          </w:p>
          <w:p w:rsidR="009A0E07" w:rsidRDefault="009A0E07">
            <w:pPr>
              <w:spacing w:after="0" w:line="240" w:lineRule="auto"/>
            </w:pPr>
            <w:bookmarkStart w:id="3" w:name="_54m6agmgaw7o" w:colFirst="0" w:colLast="0"/>
            <w:bookmarkEnd w:id="3"/>
          </w:p>
          <w:p w:rsidR="009A0E07" w:rsidRDefault="009A0E07">
            <w:pPr>
              <w:spacing w:after="0" w:line="240" w:lineRule="auto"/>
            </w:pPr>
            <w:bookmarkStart w:id="4" w:name="_s806oej9tlvf" w:colFirst="0" w:colLast="0"/>
            <w:bookmarkEnd w:id="4"/>
          </w:p>
        </w:tc>
      </w:tr>
      <w:tr w:rsidR="009A0E07">
        <w:trPr>
          <w:trHeight w:val="567"/>
        </w:trPr>
        <w:tc>
          <w:tcPr>
            <w:tcW w:w="9498" w:type="dxa"/>
            <w:gridSpan w:val="5"/>
          </w:tcPr>
          <w:p w:rsidR="009A0E07" w:rsidRDefault="00BE02AA">
            <w:pPr>
              <w:spacing w:after="0" w:line="240" w:lineRule="auto"/>
            </w:pPr>
            <w:bookmarkStart w:id="5" w:name="_1fob9te" w:colFirst="0" w:colLast="0"/>
            <w:bookmarkEnd w:id="5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 </w:t>
            </w:r>
            <w:proofErr w:type="spellStart"/>
            <w:r>
              <w:t>Borkovics</w:t>
            </w:r>
            <w:proofErr w:type="spellEnd"/>
            <w:r>
              <w:t xml:space="preserve"> Péter , Pattantyús Gergely </w:t>
            </w:r>
            <w:hyperlink r:id="rId5">
              <w:r>
                <w:rPr>
                  <w:color w:val="1155CC"/>
                  <w:u w:val="single"/>
                </w:rPr>
                <w:t>gpattantyus@mome.hu</w:t>
              </w:r>
            </w:hyperlink>
            <w:r>
              <w:t xml:space="preserve"> </w:t>
            </w:r>
          </w:p>
        </w:tc>
      </w:tr>
      <w:tr w:rsidR="009A0E07">
        <w:trPr>
          <w:trHeight w:val="705"/>
        </w:trPr>
        <w:tc>
          <w:tcPr>
            <w:tcW w:w="2200" w:type="dxa"/>
          </w:tcPr>
          <w:p w:rsidR="009A0E07" w:rsidRDefault="00BE02AA">
            <w:pPr>
              <w:spacing w:after="0" w:line="240" w:lineRule="auto"/>
            </w:pPr>
            <w:r>
              <w:t>Kód:</w:t>
            </w:r>
          </w:p>
          <w:p w:rsidR="009A0E07" w:rsidRDefault="009A0E07">
            <w:pPr>
              <w:spacing w:after="0" w:line="240" w:lineRule="auto"/>
            </w:pPr>
          </w:p>
        </w:tc>
        <w:tc>
          <w:tcPr>
            <w:tcW w:w="1911" w:type="dxa"/>
          </w:tcPr>
          <w:p w:rsidR="009A0E07" w:rsidRDefault="00BE02AA">
            <w:pPr>
              <w:spacing w:after="0" w:line="240" w:lineRule="auto"/>
            </w:pPr>
            <w:r>
              <w:t xml:space="preserve">Kapcsolódó tanterv (szak/szint): </w:t>
            </w:r>
          </w:p>
        </w:tc>
        <w:tc>
          <w:tcPr>
            <w:tcW w:w="1560" w:type="dxa"/>
          </w:tcPr>
          <w:p w:rsidR="009A0E07" w:rsidRDefault="00BE02AA">
            <w:pPr>
              <w:spacing w:after="0" w:line="240" w:lineRule="auto"/>
            </w:pPr>
            <w:r>
              <w:t xml:space="preserve">A tantárgy helye a tantervben (szemeszter): </w:t>
            </w:r>
          </w:p>
        </w:tc>
        <w:tc>
          <w:tcPr>
            <w:tcW w:w="1559" w:type="dxa"/>
          </w:tcPr>
          <w:p w:rsidR="009A0E07" w:rsidRDefault="00BE02AA">
            <w:pPr>
              <w:spacing w:after="0" w:line="240" w:lineRule="auto"/>
            </w:pPr>
            <w:r>
              <w:t>Kredit:</w:t>
            </w:r>
          </w:p>
          <w:p w:rsidR="009A0E07" w:rsidRDefault="009A0E07">
            <w:pPr>
              <w:spacing w:after="0" w:line="240" w:lineRule="auto"/>
            </w:pPr>
          </w:p>
        </w:tc>
        <w:tc>
          <w:tcPr>
            <w:tcW w:w="2268" w:type="dxa"/>
          </w:tcPr>
          <w:p w:rsidR="009A0E07" w:rsidRDefault="00BE02AA">
            <w:pPr>
              <w:spacing w:after="0" w:line="240" w:lineRule="auto"/>
            </w:pPr>
            <w:r>
              <w:t>Tanóraszám:</w:t>
            </w:r>
          </w:p>
          <w:p w:rsidR="009A0E07" w:rsidRDefault="00BE02AA">
            <w:pPr>
              <w:spacing w:after="0" w:line="240" w:lineRule="auto"/>
            </w:pPr>
            <w:r>
              <w:t xml:space="preserve">Egyéni </w:t>
            </w:r>
            <w:r>
              <w:t>hallgatói munkaóra:</w:t>
            </w:r>
          </w:p>
        </w:tc>
      </w:tr>
      <w:tr w:rsidR="009A0E07">
        <w:trPr>
          <w:trHeight w:val="705"/>
        </w:trPr>
        <w:tc>
          <w:tcPr>
            <w:tcW w:w="2200" w:type="dxa"/>
          </w:tcPr>
          <w:p w:rsidR="009A0E07" w:rsidRDefault="00BE02AA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9A0E07" w:rsidRDefault="00BE02AA">
            <w:pPr>
              <w:spacing w:after="0" w:line="240" w:lineRule="auto"/>
            </w:pPr>
            <w:r>
              <w:t>Típus: (szeminárium/előadás/gyakorlat/</w:t>
            </w:r>
            <w:proofErr w:type="gramStart"/>
            <w:r>
              <w:t>konzultáció</w:t>
            </w:r>
            <w:proofErr w:type="gramEnd"/>
            <w:r>
              <w:t xml:space="preserve"> stb.)</w:t>
            </w:r>
          </w:p>
        </w:tc>
        <w:tc>
          <w:tcPr>
            <w:tcW w:w="1560" w:type="dxa"/>
          </w:tcPr>
          <w:p w:rsidR="009A0E07" w:rsidRDefault="00BE02AA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</w:tc>
        <w:tc>
          <w:tcPr>
            <w:tcW w:w="3827" w:type="dxa"/>
            <w:gridSpan w:val="2"/>
          </w:tcPr>
          <w:p w:rsidR="009A0E07" w:rsidRDefault="00BE02AA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9A0E07" w:rsidRDefault="009A0E07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</w:tc>
      </w:tr>
      <w:tr w:rsidR="009A0E07">
        <w:trPr>
          <w:trHeight w:val="705"/>
        </w:trPr>
        <w:tc>
          <w:tcPr>
            <w:tcW w:w="9498" w:type="dxa"/>
            <w:gridSpan w:val="5"/>
          </w:tcPr>
          <w:p w:rsidR="009A0E07" w:rsidRDefault="00BE02AA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kapcsolatai (előfeltételek, párhuzamosságok): Üvegtervezés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elmúlt évek tervezési feladatai után, a tanuló válassza ki azt az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üveg tervezési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irányt, technikát és feladatot, amiben úgy érzi, hogy legjobban meg tudja mutatni eddig elért tudását, ismereteit, és amit magához legmegfelelőbbnek gondol. Ez lehet az elm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últ évek valamelyik feladata akár még egyszer bővebben, differenciáltabban, lehet annak folytatása, kiterjesztése, de lehet teljesen új témakörű. (Tehát az egyszerű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tárgy tervezéstől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belsőépítészeti üvegen át a stúdió üvegig.) A feladat pontos, szakszerű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tantervi kiírása már az ő feladata, annak része, kezdete.</w:t>
            </w:r>
          </w:p>
        </w:tc>
      </w:tr>
      <w:tr w:rsidR="009A0E07">
        <w:trPr>
          <w:trHeight w:val="903"/>
        </w:trPr>
        <w:tc>
          <w:tcPr>
            <w:tcW w:w="9498" w:type="dxa"/>
            <w:gridSpan w:val="5"/>
          </w:tcPr>
          <w:p w:rsidR="009A0E07" w:rsidRDefault="00BE02AA">
            <w:pPr>
              <w:spacing w:after="0" w:line="240" w:lineRule="auto"/>
              <w:rPr>
                <w:b/>
              </w:rPr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és alapelvei: </w:t>
            </w:r>
            <w:r>
              <w:rPr>
                <w:b/>
              </w:rPr>
              <w:t>Tanári vezetés mellett, segítséggel önálló tervezői gondolkodásmód gyakorlása, egy adott feladat komplexitásának, adott társadalmi, szociológiai beágyazottságának megértése, illetve abban való tervezői magatartás felmutatása művészi produktummal.</w:t>
            </w:r>
          </w:p>
          <w:p w:rsidR="009A0E07" w:rsidRDefault="009A0E07">
            <w:pPr>
              <w:spacing w:after="0" w:line="240" w:lineRule="auto"/>
            </w:pPr>
          </w:p>
        </w:tc>
      </w:tr>
      <w:tr w:rsidR="009A0E0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9A0E07" w:rsidRDefault="00BE02AA">
            <w:pPr>
              <w:spacing w:after="0" w:line="240" w:lineRule="auto"/>
            </w:pPr>
            <w:r>
              <w:t>Tanulás</w:t>
            </w:r>
            <w:r>
              <w:t xml:space="preserve">i eredmények (fejlesztendő szakmai és általános </w:t>
            </w:r>
            <w:proofErr w:type="gramStart"/>
            <w:r>
              <w:t>kompetenciák</w:t>
            </w:r>
            <w:proofErr w:type="gramEnd"/>
            <w:r>
              <w:t>):</w:t>
            </w:r>
          </w:p>
          <w:p w:rsidR="009A0E07" w:rsidRDefault="009A0E07">
            <w:pPr>
              <w:spacing w:after="0" w:line="240" w:lineRule="auto"/>
            </w:pPr>
          </w:p>
          <w:p w:rsidR="009A0E07" w:rsidRDefault="00BE02A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Tudás</w:t>
            </w:r>
            <w:proofErr w:type="gramStart"/>
            <w:r>
              <w:t xml:space="preserve">: </w:t>
            </w:r>
            <w:r>
              <w:tab/>
            </w:r>
            <w:r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</w:rPr>
              <w:t xml:space="preserve">  A</w:t>
            </w:r>
            <w:proofErr w:type="gramEnd"/>
            <w:r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</w:rPr>
              <w:t xml:space="preserve"> hétköznapi értelemben a „tudás” szónak legalább két értelmét is megkülönböztetjük. Az egyik az a teoretikus tudás, amelyet a </w:t>
            </w:r>
            <w:hyperlink r:id="rId6">
              <w:r>
                <w:rPr>
                  <w:rFonts w:ascii="Arial" w:eastAsia="Arial" w:hAnsi="Arial" w:cs="Arial"/>
                  <w:color w:val="0B0080"/>
                  <w:sz w:val="21"/>
                  <w:szCs w:val="21"/>
                  <w:highlight w:val="white"/>
                </w:rPr>
                <w:t>filozófia</w:t>
              </w:r>
            </w:hyperlink>
            <w:r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</w:rPr>
              <w:t xml:space="preserve"> is vizsgál, és lejjebb részletezni fogunk. A másik az </w:t>
            </w:r>
            <w:hyperlink r:id="rId7">
              <w:r>
                <w:rPr>
                  <w:rFonts w:ascii="Arial" w:eastAsia="Arial" w:hAnsi="Arial" w:cs="Arial"/>
                  <w:color w:val="0B0080"/>
                  <w:sz w:val="21"/>
                  <w:szCs w:val="21"/>
                  <w:highlight w:val="white"/>
                </w:rPr>
                <w:t>képességet</w:t>
              </w:r>
            </w:hyperlink>
            <w:r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</w:rPr>
              <w:t xml:space="preserve"> jelent. A teoretikus tudás </w:t>
            </w:r>
            <w:hyperlink r:id="rId8">
              <w:r>
                <w:rPr>
                  <w:rFonts w:ascii="Arial" w:eastAsia="Arial" w:hAnsi="Arial" w:cs="Arial"/>
                  <w:color w:val="A55858"/>
                  <w:sz w:val="21"/>
                  <w:szCs w:val="21"/>
                  <w:highlight w:val="white"/>
                </w:rPr>
                <w:t>tanulás</w:t>
              </w:r>
            </w:hyperlink>
            <w:r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</w:rPr>
              <w:t xml:space="preserve"> során, vagy a tapasztalatokból összefüggések tudatos felismerésével szerzett </w:t>
            </w:r>
            <w:hyperlink r:id="rId9">
              <w:proofErr w:type="gramStart"/>
              <w:r>
                <w:rPr>
                  <w:rFonts w:ascii="Arial" w:eastAsia="Arial" w:hAnsi="Arial" w:cs="Arial"/>
                  <w:color w:val="0B0080"/>
                  <w:sz w:val="21"/>
                  <w:szCs w:val="21"/>
                  <w:highlight w:val="white"/>
                </w:rPr>
                <w:t>információ</w:t>
              </w:r>
              <w:proofErr w:type="gramEnd"/>
            </w:hyperlink>
            <w:r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</w:rPr>
              <w:t xml:space="preserve">. A képesség pedig a gyakorlás során tudattalanul alakul ki. A képességeket az emberek, akárcsak az állatok, viszonylag lassan, hosszú gyakorlat (tanulás) során szerzik. Az ember azonban abban különbözik a legtöbb állattól, hogy képes teoretikus tudást is </w:t>
            </w:r>
            <w:r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</w:rPr>
              <w:t xml:space="preserve">elsajátítani, méghozzá akár egyszeri példa alapján, következtetéssel, vagy tanulás során nyelvi </w:t>
            </w:r>
            <w:hyperlink r:id="rId10">
              <w:r>
                <w:rPr>
                  <w:rFonts w:ascii="Arial" w:eastAsia="Arial" w:hAnsi="Arial" w:cs="Arial"/>
                  <w:color w:val="0B0080"/>
                  <w:sz w:val="21"/>
                  <w:szCs w:val="21"/>
                  <w:highlight w:val="white"/>
                </w:rPr>
                <w:t>kommunikációban</w:t>
              </w:r>
            </w:hyperlink>
            <w:r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</w:rPr>
              <w:t>.</w:t>
            </w:r>
          </w:p>
          <w:p w:rsidR="009A0E07" w:rsidRDefault="00BE02A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rFonts w:ascii="Arial" w:eastAsia="Arial" w:hAnsi="Arial" w:cs="Arial"/>
                <w:color w:val="222222"/>
                <w:sz w:val="23"/>
                <w:szCs w:val="23"/>
              </w:rPr>
            </w:pPr>
            <w:r>
              <w:t xml:space="preserve"> Képesség: 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</w:rPr>
              <w:t xml:space="preserve">Lehetőséggel, </w:t>
            </w:r>
            <w:r>
              <w:rPr>
                <w:rFonts w:ascii="Arial" w:eastAsia="Arial" w:hAnsi="Arial" w:cs="Arial"/>
                <w:b/>
                <w:color w:val="222222"/>
                <w:sz w:val="23"/>
                <w:szCs w:val="23"/>
              </w:rPr>
              <w:t>erővel, eszközökkel rendelkezés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</w:rPr>
              <w:t>, hogy a kívánt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</w:rPr>
              <w:t xml:space="preserve"> célt, a szándékunkban álló eredményt elérjük.</w:t>
            </w:r>
          </w:p>
          <w:p w:rsidR="009A0E07" w:rsidRDefault="00BE02A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rPr>
                <w:rFonts w:ascii="Arial" w:eastAsia="Arial" w:hAnsi="Arial" w:cs="Arial"/>
                <w:i/>
                <w:color w:val="222222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222222"/>
                <w:sz w:val="23"/>
                <w:szCs w:val="23"/>
              </w:rPr>
              <w:t xml:space="preserve">A tanuló tanulási </w:t>
            </w:r>
            <w:r>
              <w:rPr>
                <w:rFonts w:ascii="Arial" w:eastAsia="Arial" w:hAnsi="Arial" w:cs="Arial"/>
                <w:b/>
                <w:i/>
                <w:color w:val="222222"/>
                <w:sz w:val="23"/>
                <w:szCs w:val="23"/>
              </w:rPr>
              <w:t>képesség</w:t>
            </w:r>
            <w:r>
              <w:rPr>
                <w:rFonts w:ascii="Arial" w:eastAsia="Arial" w:hAnsi="Arial" w:cs="Arial"/>
                <w:i/>
                <w:color w:val="222222"/>
                <w:sz w:val="23"/>
                <w:szCs w:val="23"/>
              </w:rPr>
              <w:t xml:space="preserve">e a szavak megértésével növelhető. A </w:t>
            </w:r>
            <w:proofErr w:type="gramStart"/>
            <w:r>
              <w:rPr>
                <w:rFonts w:ascii="Arial" w:eastAsia="Arial" w:hAnsi="Arial" w:cs="Arial"/>
                <w:i/>
                <w:color w:val="222222"/>
                <w:sz w:val="23"/>
                <w:szCs w:val="23"/>
              </w:rPr>
              <w:t>műszer érzékelő</w:t>
            </w:r>
            <w:proofErr w:type="gramEnd"/>
            <w:r>
              <w:rPr>
                <w:rFonts w:ascii="Arial" w:eastAsia="Arial" w:hAnsi="Arial" w:cs="Arial"/>
                <w:i/>
                <w:color w:val="2222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222222"/>
                <w:sz w:val="23"/>
                <w:szCs w:val="23"/>
              </w:rPr>
              <w:t>képesség</w:t>
            </w:r>
            <w:r>
              <w:rPr>
                <w:rFonts w:ascii="Arial" w:eastAsia="Arial" w:hAnsi="Arial" w:cs="Arial"/>
                <w:i/>
                <w:color w:val="222222"/>
                <w:sz w:val="23"/>
                <w:szCs w:val="23"/>
              </w:rPr>
              <w:t>e szabályozható. Az üzem gyártó</w:t>
            </w:r>
            <w:r>
              <w:rPr>
                <w:rFonts w:ascii="Arial" w:eastAsia="Arial" w:hAnsi="Arial" w:cs="Arial"/>
                <w:b/>
                <w:i/>
                <w:color w:val="222222"/>
                <w:sz w:val="23"/>
                <w:szCs w:val="23"/>
              </w:rPr>
              <w:t>képesség</w:t>
            </w:r>
            <w:r>
              <w:rPr>
                <w:rFonts w:ascii="Arial" w:eastAsia="Arial" w:hAnsi="Arial" w:cs="Arial"/>
                <w:i/>
                <w:color w:val="222222"/>
                <w:sz w:val="23"/>
                <w:szCs w:val="23"/>
              </w:rPr>
              <w:t xml:space="preserve">e függ a gépesítés fokától. A rendszeres testmozgás segít megőrizni a test fizikai </w:t>
            </w:r>
            <w:r>
              <w:rPr>
                <w:rFonts w:ascii="Arial" w:eastAsia="Arial" w:hAnsi="Arial" w:cs="Arial"/>
                <w:b/>
                <w:i/>
                <w:color w:val="222222"/>
                <w:sz w:val="23"/>
                <w:szCs w:val="23"/>
              </w:rPr>
              <w:t>képesség</w:t>
            </w:r>
            <w:r>
              <w:rPr>
                <w:rFonts w:ascii="Arial" w:eastAsia="Arial" w:hAnsi="Arial" w:cs="Arial"/>
                <w:i/>
                <w:color w:val="222222"/>
                <w:sz w:val="23"/>
                <w:szCs w:val="23"/>
              </w:rPr>
              <w:t>eit.</w:t>
            </w:r>
          </w:p>
          <w:p w:rsidR="009A0E07" w:rsidRDefault="00BE02A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rPr>
                <w:color w:val="6D6D6D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222222"/>
                <w:sz w:val="23"/>
                <w:szCs w:val="23"/>
              </w:rPr>
              <w:t xml:space="preserve"> </w:t>
            </w:r>
            <w:r>
              <w:t>Attitűd:</w:t>
            </w:r>
            <w:r>
              <w:rPr>
                <w:color w:val="6D6D6D"/>
                <w:sz w:val="21"/>
                <w:szCs w:val="21"/>
                <w:highlight w:val="white"/>
              </w:rPr>
              <w:t>1, Magatartás, viselkedés, modor, szellemi beállítottság, szerep.</w:t>
            </w:r>
          </w:p>
          <w:p w:rsidR="009A0E07" w:rsidRDefault="00BE02A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rPr>
                <w:color w:val="6D6D6D"/>
                <w:sz w:val="21"/>
                <w:szCs w:val="21"/>
                <w:highlight w:val="white"/>
              </w:rPr>
              <w:t>2, Hozzáállás, viszonyulás valamihez, vagy valakihez.</w:t>
            </w:r>
          </w:p>
          <w:p w:rsidR="009A0E07" w:rsidRDefault="009A0E0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9A0E07" w:rsidRDefault="009A0E0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9A0E07" w:rsidRDefault="00BE02A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lastRenderedPageBreak/>
              <w:t>Autonómia és felelősségvállalás:</w:t>
            </w:r>
            <w:r>
              <w:tab/>
            </w:r>
            <w:r>
              <w:rPr>
                <w:color w:val="6D6D6D"/>
                <w:sz w:val="21"/>
                <w:szCs w:val="21"/>
                <w:highlight w:val="white"/>
              </w:rPr>
              <w:t xml:space="preserve">önállóság, függetlenség, </w:t>
            </w:r>
            <w:r>
              <w:rPr>
                <w:rFonts w:ascii="Arial" w:eastAsia="Arial" w:hAnsi="Arial" w:cs="Arial"/>
                <w:color w:val="6D6D6D"/>
                <w:sz w:val="24"/>
                <w:szCs w:val="24"/>
                <w:highlight w:val="white"/>
              </w:rPr>
              <w:t>Erkölcsi, jogi v. hivatalos kötelezettség, amelynek al</w:t>
            </w:r>
            <w:r>
              <w:rPr>
                <w:rFonts w:ascii="Arial" w:eastAsia="Arial" w:hAnsi="Arial" w:cs="Arial"/>
                <w:color w:val="6D6D6D"/>
                <w:sz w:val="24"/>
                <w:szCs w:val="24"/>
                <w:highlight w:val="white"/>
              </w:rPr>
              <w:t xml:space="preserve">apján </w:t>
            </w:r>
            <w:proofErr w:type="spellStart"/>
            <w:r>
              <w:rPr>
                <w:rFonts w:ascii="Arial" w:eastAsia="Arial" w:hAnsi="Arial" w:cs="Arial"/>
                <w:color w:val="6D6D6D"/>
                <w:sz w:val="24"/>
                <w:szCs w:val="24"/>
                <w:highlight w:val="white"/>
              </w:rPr>
              <w:t>vki</w:t>
            </w:r>
            <w:proofErr w:type="spellEnd"/>
            <w:r>
              <w:rPr>
                <w:rFonts w:ascii="Arial" w:eastAsia="Arial" w:hAnsi="Arial" w:cs="Arial"/>
                <w:color w:val="6D6D6D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D6D6D"/>
                <w:sz w:val="24"/>
                <w:szCs w:val="24"/>
                <w:highlight w:val="white"/>
              </w:rPr>
              <w:t>vmely</w:t>
            </w:r>
            <w:proofErr w:type="spellEnd"/>
            <w:r>
              <w:rPr>
                <w:rFonts w:ascii="Arial" w:eastAsia="Arial" w:hAnsi="Arial" w:cs="Arial"/>
                <w:color w:val="6D6D6D"/>
                <w:sz w:val="24"/>
                <w:szCs w:val="24"/>
                <w:highlight w:val="white"/>
              </w:rPr>
              <w:t xml:space="preserve"> testület v. közösség </w:t>
            </w:r>
            <w:proofErr w:type="spellStart"/>
            <w:r>
              <w:rPr>
                <w:rFonts w:ascii="Arial" w:eastAsia="Arial" w:hAnsi="Arial" w:cs="Arial"/>
                <w:color w:val="6D6D6D"/>
                <w:sz w:val="24"/>
                <w:szCs w:val="24"/>
                <w:highlight w:val="white"/>
              </w:rPr>
              <w:t>vkiért</w:t>
            </w:r>
            <w:proofErr w:type="spellEnd"/>
            <w:r>
              <w:rPr>
                <w:rFonts w:ascii="Arial" w:eastAsia="Arial" w:hAnsi="Arial" w:cs="Arial"/>
                <w:color w:val="6D6D6D"/>
                <w:sz w:val="24"/>
                <w:szCs w:val="24"/>
                <w:highlight w:val="white"/>
              </w:rPr>
              <w:t xml:space="preserve"> v. </w:t>
            </w:r>
            <w:proofErr w:type="spellStart"/>
            <w:r>
              <w:rPr>
                <w:rFonts w:ascii="Arial" w:eastAsia="Arial" w:hAnsi="Arial" w:cs="Arial"/>
                <w:color w:val="6D6D6D"/>
                <w:sz w:val="24"/>
                <w:szCs w:val="24"/>
                <w:highlight w:val="white"/>
              </w:rPr>
              <w:t>vmiért</w:t>
            </w:r>
            <w:proofErr w:type="spellEnd"/>
            <w:r>
              <w:rPr>
                <w:rFonts w:ascii="Arial" w:eastAsia="Arial" w:hAnsi="Arial" w:cs="Arial"/>
                <w:color w:val="6D6D6D"/>
                <w:sz w:val="24"/>
                <w:szCs w:val="24"/>
                <w:highlight w:val="white"/>
              </w:rPr>
              <w:t xml:space="preserve"> felelős, számot adni tartozik. </w:t>
            </w:r>
            <w:r>
              <w:tab/>
            </w:r>
          </w:p>
          <w:p w:rsidR="009A0E07" w:rsidRDefault="00BE02A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ab/>
            </w:r>
            <w:r>
              <w:tab/>
            </w:r>
          </w:p>
          <w:p w:rsidR="009A0E07" w:rsidRDefault="009A0E07">
            <w:pPr>
              <w:spacing w:after="0" w:line="240" w:lineRule="auto"/>
            </w:pPr>
          </w:p>
        </w:tc>
      </w:tr>
      <w:tr w:rsidR="009A0E0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9A0E07" w:rsidRDefault="00BE02AA">
            <w:pPr>
              <w:spacing w:after="0" w:line="240" w:lineRule="auto"/>
            </w:pPr>
            <w:r>
              <w:lastRenderedPageBreak/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keretében feldolgozandó témakörök, témák: Az üvegtervezői alapismeretek része az adott üvegtechnológia adott részeinek, konkrét feladathoz kapcsolódó tech</w:t>
            </w:r>
            <w:r>
              <w:t xml:space="preserve">nológia, technológiák megismeréseinek. Ez minden hallgatónál, minden esetben egyénileg és egyedileg meghatározott, személyes </w:t>
            </w:r>
            <w:proofErr w:type="gramStart"/>
            <w:r>
              <w:t>konzultációk</w:t>
            </w:r>
            <w:proofErr w:type="gramEnd"/>
            <w:r>
              <w:t xml:space="preserve"> során meghatározandó, és megadandó.</w:t>
            </w:r>
          </w:p>
          <w:p w:rsidR="009A0E07" w:rsidRDefault="009A0E07">
            <w:pPr>
              <w:spacing w:after="0" w:line="240" w:lineRule="auto"/>
            </w:pPr>
          </w:p>
          <w:p w:rsidR="009A0E07" w:rsidRDefault="009A0E07">
            <w:pPr>
              <w:spacing w:after="0" w:line="240" w:lineRule="auto"/>
            </w:pPr>
          </w:p>
          <w:p w:rsidR="009A0E07" w:rsidRDefault="009A0E07">
            <w:pPr>
              <w:spacing w:after="0" w:line="240" w:lineRule="auto"/>
            </w:pPr>
          </w:p>
        </w:tc>
      </w:tr>
      <w:tr w:rsidR="009A0E07">
        <w:trPr>
          <w:trHeight w:val="675"/>
        </w:trPr>
        <w:tc>
          <w:tcPr>
            <w:tcW w:w="9498" w:type="dxa"/>
            <w:gridSpan w:val="5"/>
          </w:tcPr>
          <w:p w:rsidR="009A0E07" w:rsidRDefault="00BE02AA">
            <w:pPr>
              <w:spacing w:after="0" w:line="240" w:lineRule="auto"/>
            </w:pPr>
            <w:r>
              <w:t xml:space="preserve">Tanulásszervezés/folyamatszervezés sajátosságai: </w:t>
            </w:r>
          </w:p>
          <w:p w:rsidR="009A0E07" w:rsidRDefault="00BE02AA">
            <w:pPr>
              <w:spacing w:after="0" w:line="240" w:lineRule="auto"/>
              <w:ind w:left="134" w:hanging="134"/>
            </w:pPr>
            <w:bookmarkStart w:id="6" w:name="_3znysh7" w:colFirst="0" w:colLast="0"/>
            <w:bookmarkEnd w:id="6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menete, az egyes foglalkozások jellege és ütemezésük (több tanár esetén akár a tanári közreműködés megosztását is jelezve): 1.,Feladat értelmezése, megértése. 2</w:t>
            </w:r>
            <w:proofErr w:type="gramStart"/>
            <w:r>
              <w:t>.,</w:t>
            </w:r>
            <w:proofErr w:type="gramEnd"/>
            <w:r>
              <w:t xml:space="preserve">kutatás, gyűjtés 3., Gondolkozás 4. Válaszadás alkotással, </w:t>
            </w:r>
            <w:proofErr w:type="gramStart"/>
            <w:r>
              <w:t>üvegtárgyban   Együtt</w:t>
            </w:r>
            <w:proofErr w:type="gramEnd"/>
            <w:r>
              <w:t>= ter</w:t>
            </w:r>
            <w:r>
              <w:t>vezés, tárgyalkotás</w:t>
            </w:r>
          </w:p>
          <w:p w:rsidR="009A0E07" w:rsidRDefault="009A0E07">
            <w:pPr>
              <w:spacing w:after="0" w:line="240" w:lineRule="auto"/>
              <w:ind w:left="134" w:hanging="134"/>
            </w:pPr>
            <w:bookmarkStart w:id="7" w:name="_maoi0p3arr0o" w:colFirst="0" w:colLast="0"/>
            <w:bookmarkEnd w:id="7"/>
          </w:p>
          <w:p w:rsidR="009A0E07" w:rsidRDefault="009A0E07">
            <w:pPr>
              <w:spacing w:after="0" w:line="240" w:lineRule="auto"/>
            </w:pPr>
          </w:p>
          <w:p w:rsidR="009A0E07" w:rsidRDefault="00BE02AA">
            <w:pPr>
              <w:spacing w:after="0" w:line="240" w:lineRule="auto"/>
            </w:pPr>
            <w:r>
              <w:t>A hallgatók tennivalói, feladatai: A fentiek. Üveg anyagból készült tárgy, tárgy együttes, feladat kiírás szerint. Vetített prezentáció, mely az elmúlt évek tervezési munkáját is érinti, lényegileg, (gondolkodásmódjában) magában fogla</w:t>
            </w:r>
            <w:r>
              <w:t>lja.</w:t>
            </w:r>
          </w:p>
          <w:p w:rsidR="009A0E07" w:rsidRDefault="009A0E07">
            <w:pPr>
              <w:spacing w:after="0" w:line="240" w:lineRule="auto"/>
            </w:pPr>
          </w:p>
          <w:p w:rsidR="009A0E07" w:rsidRDefault="009A0E07">
            <w:pPr>
              <w:spacing w:after="0" w:line="240" w:lineRule="auto"/>
            </w:pPr>
          </w:p>
          <w:p w:rsidR="009A0E07" w:rsidRDefault="00BE02AA">
            <w:pPr>
              <w:spacing w:after="0" w:line="240" w:lineRule="auto"/>
            </w:pPr>
            <w:r>
              <w:t>A tanulás környezete: (pl. tanterem, stúdió, műterem, külső helyszín, online, vállalati gyakorlat stb.) Így, ebben a sorrendben. (A zárójelben lévők szerint.)</w:t>
            </w:r>
          </w:p>
          <w:p w:rsidR="009A0E07" w:rsidRDefault="009A0E07">
            <w:pPr>
              <w:spacing w:after="0" w:line="240" w:lineRule="auto"/>
            </w:pPr>
          </w:p>
          <w:p w:rsidR="009A0E07" w:rsidRDefault="009A0E07">
            <w:pPr>
              <w:spacing w:after="0" w:line="240" w:lineRule="auto"/>
            </w:pPr>
          </w:p>
        </w:tc>
      </w:tr>
      <w:tr w:rsidR="009A0E0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9A0E07" w:rsidRDefault="00BE02AA">
            <w:pPr>
              <w:spacing w:after="0" w:line="240" w:lineRule="auto"/>
            </w:pPr>
            <w:r>
              <w:t>Értékelés:</w:t>
            </w:r>
          </w:p>
          <w:p w:rsidR="009A0E07" w:rsidRDefault="00BE02AA">
            <w:pPr>
              <w:spacing w:after="0" w:line="240" w:lineRule="auto"/>
            </w:pPr>
            <w:r>
              <w:t>(Több tanár és tanáronként külön értékelés esetén tanáronként megbontva) Nem bontjuk meg a tanárt, tanárokat. Együtt értékelünk.</w:t>
            </w:r>
          </w:p>
          <w:p w:rsidR="009A0E07" w:rsidRDefault="009A0E07">
            <w:pPr>
              <w:spacing w:after="0" w:line="240" w:lineRule="auto"/>
            </w:pPr>
          </w:p>
          <w:p w:rsidR="009A0E07" w:rsidRDefault="00BE02AA">
            <w:pPr>
              <w:spacing w:after="0" w:line="240" w:lineRule="auto"/>
            </w:pPr>
            <w:r>
              <w:t xml:space="preserve">   Teljesítendő </w:t>
            </w:r>
            <w:proofErr w:type="spellStart"/>
            <w:r>
              <w:t>követelmények</w:t>
            </w:r>
            <w:proofErr w:type="gramStart"/>
            <w:r>
              <w:t>:A</w:t>
            </w:r>
            <w:proofErr w:type="spellEnd"/>
            <w:proofErr w:type="gramEnd"/>
            <w:r>
              <w:t xml:space="preserve"> kiértékelésre anyagban, rajzban, és vetített prezentációban egyaránt be kell mutatni a munkát,</w:t>
            </w:r>
            <w:r>
              <w:t xml:space="preserve"> és munkafolyamatot. Ha nagyméretű, akkor a modellnek, makettnek eredeti, terv szerinti anyagból, léptékhelyesen kell készülnie. (Amennyiben online oktatásra kényszerülünk, akkor csak modellező anyagokból, és terveit is vetített, elektronikus formában kérj</w:t>
            </w:r>
            <w:r>
              <w:t>ük a beszámolót.)</w:t>
            </w:r>
          </w:p>
          <w:p w:rsidR="009A0E07" w:rsidRDefault="009A0E07">
            <w:pPr>
              <w:spacing w:after="0" w:line="240" w:lineRule="auto"/>
            </w:pPr>
          </w:p>
          <w:p w:rsidR="009A0E07" w:rsidRDefault="009A0E07">
            <w:pPr>
              <w:spacing w:after="0" w:line="240" w:lineRule="auto"/>
            </w:pPr>
          </w:p>
          <w:p w:rsidR="009A0E07" w:rsidRDefault="00BE02AA">
            <w:pPr>
              <w:spacing w:after="0" w:line="240" w:lineRule="auto"/>
              <w:ind w:left="276"/>
            </w:pPr>
            <w:r>
              <w:t xml:space="preserve">Értékelés módja: (milyen módszerekkel zajlik az értékelés {teszt, szóbeli felelet, gyakorlati </w:t>
            </w:r>
            <w:proofErr w:type="gramStart"/>
            <w:r>
              <w:t>demonstráció</w:t>
            </w:r>
            <w:proofErr w:type="gramEnd"/>
            <w:r>
              <w:t xml:space="preserve"> stb.} Gyakorlati </w:t>
            </w:r>
            <w:proofErr w:type="gramStart"/>
            <w:r>
              <w:t>demonstráció</w:t>
            </w:r>
            <w:proofErr w:type="gramEnd"/>
            <w:r>
              <w:t>, ha az kiállított munkák bemutatását jelenti. Üveg anyagból készült tárgy, tárgy együttes bemutatás</w:t>
            </w:r>
            <w:r>
              <w:t>a a feladat kiírása szerint. Vetített prezentáció, mely az elmúlt évek tervezési munkáját is érinti, lényegileg, (gondolkodásmódjában) magában foglalja.(Amennyiben online oktatásra kényszerülünk, akkor csak modellező anyagokból, és terveit is vetített, ele</w:t>
            </w:r>
            <w:r>
              <w:t>ktronikus formában kérjük a beszámolót.)</w:t>
            </w:r>
          </w:p>
          <w:p w:rsidR="009A0E07" w:rsidRDefault="009A0E07">
            <w:pPr>
              <w:spacing w:after="0" w:line="240" w:lineRule="auto"/>
            </w:pPr>
          </w:p>
          <w:p w:rsidR="009A0E07" w:rsidRDefault="00BE02AA">
            <w:pPr>
              <w:spacing w:after="0" w:line="240" w:lineRule="auto"/>
            </w:pPr>
            <w:r>
              <w:t xml:space="preserve">Az értékelés szempontjai (mi mindent veszünk figyelembe az értékelésben): Mindent. </w:t>
            </w:r>
          </w:p>
          <w:p w:rsidR="009A0E07" w:rsidRDefault="009A0E07">
            <w:pPr>
              <w:spacing w:after="0" w:line="240" w:lineRule="auto"/>
              <w:rPr>
                <w:b/>
              </w:rPr>
            </w:pPr>
          </w:p>
        </w:tc>
      </w:tr>
      <w:tr w:rsidR="009A0E0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9A0E07" w:rsidRDefault="009A0E07">
            <w:pPr>
              <w:spacing w:after="0" w:line="240" w:lineRule="auto"/>
            </w:pPr>
          </w:p>
          <w:p w:rsidR="009A0E07" w:rsidRDefault="00BE02AA">
            <w:pPr>
              <w:spacing w:after="0" w:line="240" w:lineRule="auto"/>
              <w:ind w:left="276"/>
            </w:pPr>
            <w:r>
              <w:t>Az érdemjegy kiszámítása (az egyes értékelt követelmények eredménye hogyan jelenik meg a végső érdemjegyben? {pl. arányok, pontok, súlyok})</w:t>
            </w:r>
            <w:proofErr w:type="gramStart"/>
            <w:r>
              <w:t>:  60</w:t>
            </w:r>
            <w:proofErr w:type="gramEnd"/>
            <w:r>
              <w:t>%: szorgalom, 30%: tehetség, 10%: egyéb (humán tényező)</w:t>
            </w:r>
          </w:p>
          <w:p w:rsidR="009A0E07" w:rsidRDefault="009A0E07">
            <w:pPr>
              <w:spacing w:after="0" w:line="240" w:lineRule="auto"/>
              <w:ind w:left="276"/>
            </w:pPr>
          </w:p>
          <w:p w:rsidR="009A0E07" w:rsidRDefault="009A0E07">
            <w:pPr>
              <w:spacing w:after="0" w:line="240" w:lineRule="auto"/>
            </w:pPr>
          </w:p>
        </w:tc>
      </w:tr>
      <w:tr w:rsidR="009A0E07">
        <w:trPr>
          <w:trHeight w:val="1351"/>
        </w:trPr>
        <w:tc>
          <w:tcPr>
            <w:tcW w:w="9498" w:type="dxa"/>
            <w:gridSpan w:val="5"/>
          </w:tcPr>
          <w:p w:rsidR="009A0E07" w:rsidRDefault="00BE02AA">
            <w:pPr>
              <w:spacing w:after="0" w:line="240" w:lineRule="auto"/>
            </w:pPr>
            <w:r>
              <w:t xml:space="preserve">Kötelező irodalom: </w:t>
            </w:r>
          </w:p>
          <w:p w:rsidR="009A0E07" w:rsidRDefault="00BE02A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Gurmai</w:t>
            </w:r>
            <w:proofErr w:type="spellEnd"/>
            <w:r>
              <w:t xml:space="preserve"> Mihály: Az üvegművészet </w:t>
            </w:r>
            <w:r>
              <w:t>technikája I-IV</w:t>
            </w:r>
          </w:p>
          <w:p w:rsidR="009A0E07" w:rsidRDefault="00BE02AA">
            <w:pPr>
              <w:spacing w:after="0" w:line="240" w:lineRule="auto"/>
            </w:pPr>
            <w:r>
              <w:t>-</w:t>
            </w:r>
            <w:proofErr w:type="spellStart"/>
            <w:r>
              <w:t>Drescher</w:t>
            </w:r>
            <w:proofErr w:type="spellEnd"/>
            <w:r>
              <w:t xml:space="preserve"> Károly: Üvegfújó szakmai ismeret 1. /Műszaki Könyvkiadó, Bp., 1972/</w:t>
            </w:r>
          </w:p>
          <w:p w:rsidR="009A0E07" w:rsidRDefault="00BE02AA">
            <w:pPr>
              <w:spacing w:before="240" w:after="240" w:line="240" w:lineRule="auto"/>
            </w:pPr>
            <w:r>
              <w:t>-Boros Tibor: Üvegtechnológia 1. / Tankönyvkiadó, Bp., 1979)</w:t>
            </w:r>
          </w:p>
          <w:p w:rsidR="009A0E07" w:rsidRDefault="00BE02AA">
            <w:pPr>
              <w:spacing w:before="240" w:after="240" w:line="240" w:lineRule="auto"/>
            </w:pPr>
            <w:r>
              <w:t>-</w:t>
            </w:r>
            <w:proofErr w:type="spellStart"/>
            <w:r>
              <w:t>Drescher</w:t>
            </w:r>
            <w:proofErr w:type="spellEnd"/>
            <w:r>
              <w:t xml:space="preserve"> Károly-Márton István: Üvegipari anyag- és gyártásismeret 1. /Műszaki tankönyvkiadó, Bp., 19</w:t>
            </w:r>
            <w:r>
              <w:t>90</w:t>
            </w:r>
          </w:p>
          <w:p w:rsidR="009A0E07" w:rsidRDefault="00BE02AA">
            <w:pPr>
              <w:spacing w:after="0" w:line="240" w:lineRule="auto"/>
            </w:pPr>
            <w:r>
              <w:t>Ajánlott irodalom:</w:t>
            </w:r>
          </w:p>
          <w:p w:rsidR="009A0E07" w:rsidRDefault="00BE02AA">
            <w:pPr>
              <w:spacing w:after="0" w:line="240" w:lineRule="auto"/>
            </w:pPr>
            <w:r>
              <w:t>-Mester Edit: Középkori Üvegek /Visegrád 1997/</w:t>
            </w:r>
          </w:p>
          <w:p w:rsidR="009A0E07" w:rsidRDefault="00BE02AA">
            <w:pPr>
              <w:spacing w:before="240" w:after="240" w:line="240" w:lineRule="auto"/>
            </w:pPr>
            <w:r>
              <w:t xml:space="preserve">-Prof. </w:t>
            </w:r>
            <w:proofErr w:type="spellStart"/>
            <w:r>
              <w:t>Ödner</w:t>
            </w:r>
            <w:proofErr w:type="spellEnd"/>
            <w:r>
              <w:t xml:space="preserve"> </w:t>
            </w:r>
            <w:proofErr w:type="spellStart"/>
            <w:r>
              <w:t>KüCükerman</w:t>
            </w:r>
            <w:proofErr w:type="spellEnd"/>
            <w:r>
              <w:t xml:space="preserve">: </w:t>
            </w:r>
            <w:proofErr w:type="spellStart"/>
            <w:r>
              <w:t>Glass</w:t>
            </w:r>
            <w:proofErr w:type="spellEnd"/>
            <w:r>
              <w:t xml:space="preserve"> </w:t>
            </w:r>
            <w:proofErr w:type="spellStart"/>
            <w:r>
              <w:t>Beads</w:t>
            </w:r>
            <w:proofErr w:type="spellEnd"/>
            <w:r>
              <w:t xml:space="preserve"> /</w:t>
            </w:r>
            <w:proofErr w:type="spellStart"/>
            <w:r>
              <w:t>Istambul</w:t>
            </w:r>
            <w:proofErr w:type="spellEnd"/>
            <w:r>
              <w:t>, 1988/</w:t>
            </w:r>
          </w:p>
          <w:p w:rsidR="009A0E07" w:rsidRDefault="009A0E07">
            <w:pPr>
              <w:spacing w:before="240" w:after="240" w:line="240" w:lineRule="auto"/>
            </w:pPr>
          </w:p>
          <w:p w:rsidR="009A0E07" w:rsidRDefault="00BE02AA">
            <w:pPr>
              <w:spacing w:after="0" w:line="240" w:lineRule="auto"/>
            </w:pPr>
            <w:r>
              <w:t xml:space="preserve"> </w:t>
            </w:r>
          </w:p>
          <w:p w:rsidR="009A0E07" w:rsidRDefault="009A0E07">
            <w:pPr>
              <w:spacing w:after="0" w:line="240" w:lineRule="auto"/>
            </w:pPr>
          </w:p>
        </w:tc>
      </w:tr>
      <w:tr w:rsidR="009A0E07">
        <w:trPr>
          <w:trHeight w:val="1096"/>
        </w:trPr>
        <w:tc>
          <w:tcPr>
            <w:tcW w:w="9498" w:type="dxa"/>
            <w:gridSpan w:val="5"/>
          </w:tcPr>
          <w:p w:rsidR="009A0E07" w:rsidRDefault="00BE02AA">
            <w:pPr>
              <w:spacing w:after="0" w:line="240" w:lineRule="auto"/>
            </w:pPr>
            <w:r>
              <w:t xml:space="preserve">Egyéb </w:t>
            </w:r>
            <w:proofErr w:type="gramStart"/>
            <w:r>
              <w:t>információk</w:t>
            </w:r>
            <w:proofErr w:type="gramEnd"/>
            <w:r>
              <w:t>:</w:t>
            </w:r>
          </w:p>
          <w:p w:rsidR="009A0E07" w:rsidRDefault="00BE02AA">
            <w:pPr>
              <w:spacing w:after="0" w:line="240" w:lineRule="auto"/>
            </w:pPr>
            <w:r>
              <w:t xml:space="preserve">A szabadon választás lehetősége mellett külön hangsúlyt kap, hogy a munka minden egyes fázisa, része, fajtája jól mutassa a hallgató gondolkodásmódját, </w:t>
            </w:r>
            <w:proofErr w:type="gramStart"/>
            <w:r>
              <w:t>komplex</w:t>
            </w:r>
            <w:proofErr w:type="gramEnd"/>
            <w:r>
              <w:t>, tervezői hozzáállását, munkája folyamatosságát, és ezt, ezeket a kiértékelésen értékelhetően be</w:t>
            </w:r>
            <w:r>
              <w:t>mutassa, vagyis érthetősége az értékelés része és tárgya is már.</w:t>
            </w:r>
          </w:p>
          <w:p w:rsidR="009A0E07" w:rsidRDefault="00BE02AA">
            <w:pPr>
              <w:spacing w:before="240" w:after="240" w:line="240" w:lineRule="auto"/>
            </w:pPr>
            <w:r>
              <w:t xml:space="preserve"> </w:t>
            </w:r>
          </w:p>
          <w:p w:rsidR="009A0E07" w:rsidRDefault="009A0E07">
            <w:pPr>
              <w:spacing w:after="0" w:line="240" w:lineRule="auto"/>
            </w:pPr>
          </w:p>
        </w:tc>
      </w:tr>
      <w:tr w:rsidR="009A0E0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9A0E07" w:rsidRDefault="00BE02AA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9A0E07" w:rsidRDefault="00BE02A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nem adható felmentés a </w:t>
            </w:r>
            <w:proofErr w:type="gramStart"/>
            <w:r>
              <w:rPr>
                <w:i/>
                <w:color w:val="000000"/>
              </w:rPr>
              <w:t>kurzuson</w:t>
            </w:r>
            <w:proofErr w:type="gramEnd"/>
            <w:r>
              <w:rPr>
                <w:i/>
                <w:color w:val="000000"/>
              </w:rPr>
              <w:t xml:space="preserve"> való részvétel és teljesítés alól,</w:t>
            </w:r>
          </w:p>
          <w:p w:rsidR="009A0E07" w:rsidRDefault="00BE02A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</w:t>
            </w:r>
            <w:proofErr w:type="gramStart"/>
            <w:r>
              <w:rPr>
                <w:i/>
                <w:color w:val="000000"/>
              </w:rPr>
              <w:t>kompetenciák</w:t>
            </w:r>
            <w:proofErr w:type="gramEnd"/>
            <w:r>
              <w:rPr>
                <w:i/>
                <w:color w:val="000000"/>
              </w:rPr>
              <w:t xml:space="preserve"> megszerzése, feladatok teljesítése alól, </w:t>
            </w:r>
          </w:p>
          <w:p w:rsidR="009A0E07" w:rsidRDefault="00BE02A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</w:t>
            </w:r>
            <w:r>
              <w:rPr>
                <w:i/>
              </w:rPr>
              <w:t>kiválthatók</w:t>
            </w:r>
          </w:p>
          <w:p w:rsidR="009A0E07" w:rsidRDefault="009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9A0E07">
        <w:trPr>
          <w:trHeight w:val="271"/>
        </w:trPr>
        <w:tc>
          <w:tcPr>
            <w:tcW w:w="9498" w:type="dxa"/>
            <w:gridSpan w:val="5"/>
          </w:tcPr>
          <w:p w:rsidR="009A0E07" w:rsidRDefault="00BE02AA">
            <w:pPr>
              <w:spacing w:after="0" w:line="240" w:lineRule="auto"/>
            </w:pPr>
            <w:r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 Egyéni megbeszélés, szervezés szerint, ha szükséges, akár külső helyszíneken, műtermekben, üzemekben, a feladathoz értelemszerűen kapcsolódva.</w:t>
            </w:r>
          </w:p>
          <w:p w:rsidR="009A0E07" w:rsidRDefault="009A0E07">
            <w:pPr>
              <w:spacing w:after="0" w:line="240" w:lineRule="auto"/>
            </w:pPr>
          </w:p>
          <w:p w:rsidR="009A0E07" w:rsidRDefault="009A0E07">
            <w:pPr>
              <w:spacing w:after="0" w:line="240" w:lineRule="auto"/>
            </w:pPr>
          </w:p>
        </w:tc>
      </w:tr>
    </w:tbl>
    <w:p w:rsidR="009A0E07" w:rsidRDefault="009A0E07"/>
    <w:sectPr w:rsidR="009A0E0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04964"/>
    <w:multiLevelType w:val="multilevel"/>
    <w:tmpl w:val="7A207B5E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07"/>
    <w:rsid w:val="009A0E07"/>
    <w:rsid w:val="00B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976B"/>
  <w15:docId w15:val="{F5B2D2E5-858F-445E-83AA-B838842B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/index.php?title=Tanul%C3%A1s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K%C3%A9pess%C3%A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Filoz%C3%B3fi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pattantyus@mome.hu" TargetMode="External"/><Relationship Id="rId10" Type="http://schemas.openxmlformats.org/officeDocument/2006/relationships/hyperlink" Target="https://hu.wikipedia.org/wiki/Kommunik%C3%A1ci%C3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Inform%C3%A1ci%C3%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Dórika</cp:lastModifiedBy>
  <cp:revision>2</cp:revision>
  <dcterms:created xsi:type="dcterms:W3CDTF">2021-01-18T20:21:00Z</dcterms:created>
  <dcterms:modified xsi:type="dcterms:W3CDTF">2021-01-18T20:21:00Z</dcterms:modified>
</cp:coreProperties>
</file>