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05080F">
              <w:rPr>
                <w:rFonts w:cstheme="minorHAnsi"/>
              </w:rPr>
              <w:t xml:space="preserve"> </w:t>
            </w:r>
            <w:r w:rsidR="003F12BB" w:rsidRPr="003F12BB">
              <w:rPr>
                <w:rFonts w:cstheme="minorHAnsi"/>
              </w:rPr>
              <w:t>Fémműves kutatás és tervezés 2.</w:t>
            </w:r>
            <w:r w:rsidR="003F12BB">
              <w:rPr>
                <w:rFonts w:cstheme="minorHAnsi"/>
              </w:rPr>
              <w:t xml:space="preserve">/Tervezés/”Out of </w:t>
            </w:r>
            <w:proofErr w:type="spellStart"/>
            <w:r w:rsidR="003F12BB">
              <w:rPr>
                <w:rFonts w:cstheme="minorHAnsi"/>
              </w:rPr>
              <w:t>the</w:t>
            </w:r>
            <w:proofErr w:type="spellEnd"/>
            <w:r w:rsidR="003F12BB">
              <w:rPr>
                <w:rFonts w:cstheme="minorHAnsi"/>
              </w:rPr>
              <w:t xml:space="preserve"> </w:t>
            </w:r>
            <w:proofErr w:type="spellStart"/>
            <w:r w:rsidR="003F12BB">
              <w:rPr>
                <w:rFonts w:cstheme="minorHAnsi"/>
              </w:rPr>
              <w:t>box</w:t>
            </w:r>
            <w:proofErr w:type="spellEnd"/>
            <w:r w:rsidR="003F12BB">
              <w:rPr>
                <w:rFonts w:cstheme="minorHAnsi"/>
              </w:rPr>
              <w:t>”</w:t>
            </w:r>
          </w:p>
        </w:tc>
      </w:tr>
      <w:tr w:rsidR="00572625" w:rsidRPr="002C7F20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 xml:space="preserve">A </w:t>
            </w:r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oktatója/i, elérhetősége(i):</w:t>
            </w:r>
            <w:bookmarkEnd w:id="2"/>
          </w:p>
          <w:p w:rsidR="0005080F" w:rsidRDefault="003F12BB" w:rsidP="006723D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Vági Flóra – </w:t>
            </w:r>
            <w:r w:rsidRPr="003F12BB">
              <w:rPr>
                <w:rFonts w:cstheme="minorHAnsi"/>
                <w:bCs/>
              </w:rPr>
              <w:t>vagi.flora@mome.hu</w:t>
            </w:r>
          </w:p>
          <w:p w:rsidR="003F12BB" w:rsidRPr="0005080F" w:rsidRDefault="003F12BB" w:rsidP="006723D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theme="minorHAnsi"/>
                <w:bCs/>
              </w:rPr>
              <w:t xml:space="preserve">Dezső Renáta - </w:t>
            </w:r>
            <w:r w:rsidRPr="003F12BB">
              <w:rPr>
                <w:rFonts w:cstheme="minorHAnsi"/>
                <w:bCs/>
              </w:rPr>
              <w:t>dezso.renata@mome.hu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3F12BB" w:rsidP="00E16D23">
            <w:pPr>
              <w:spacing w:after="0" w:line="240" w:lineRule="auto"/>
              <w:rPr>
                <w:rFonts w:cstheme="minorHAnsi"/>
              </w:rPr>
            </w:pPr>
            <w:r w:rsidRPr="003F12BB">
              <w:rPr>
                <w:rFonts w:cstheme="minorHAnsi"/>
              </w:rPr>
              <w:t>M-FM-201</w:t>
            </w:r>
          </w:p>
        </w:tc>
        <w:tc>
          <w:tcPr>
            <w:tcW w:w="1911" w:type="dxa"/>
          </w:tcPr>
          <w:p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  <w:r w:rsidR="009A1A7F">
              <w:rPr>
                <w:rFonts w:cstheme="minorHAnsi"/>
              </w:rPr>
              <w:t xml:space="preserve"> MA</w:t>
            </w:r>
            <w:bookmarkStart w:id="3" w:name="_GoBack"/>
            <w:bookmarkEnd w:id="3"/>
          </w:p>
        </w:tc>
        <w:tc>
          <w:tcPr>
            <w:tcW w:w="1560" w:type="dxa"/>
          </w:tcPr>
          <w:p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559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  <w:r w:rsidR="003F12BB">
              <w:rPr>
                <w:rFonts w:cstheme="minorHAnsi"/>
                <w:bCs/>
              </w:rPr>
              <w:t xml:space="preserve"> 15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6723D6">
              <w:rPr>
                <w:rFonts w:cstheme="minorHAnsi"/>
                <w:bCs/>
              </w:rPr>
              <w:t xml:space="preserve"> 6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  <w:p w:rsidR="00E73E77" w:rsidRPr="002C7F20" w:rsidRDefault="00E73E77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B-SZ-201-DI-202102-13</w:t>
            </w:r>
          </w:p>
        </w:tc>
        <w:tc>
          <w:tcPr>
            <w:tcW w:w="1911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(szeminárium/előadás/gyakorlat/</w:t>
            </w:r>
            <w:proofErr w:type="gramStart"/>
            <w:r w:rsidRPr="002C7F20">
              <w:rPr>
                <w:rFonts w:cstheme="minorHAnsi"/>
                <w:bCs/>
              </w:rPr>
              <w:t>konzultáció</w:t>
            </w:r>
            <w:proofErr w:type="gramEnd"/>
            <w:r w:rsidRPr="002C7F20">
              <w:rPr>
                <w:rFonts w:cstheme="minorHAnsi"/>
                <w:bCs/>
              </w:rPr>
              <w:t xml:space="preserve"> stb.)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-ként felvehető-e?</w:t>
            </w:r>
          </w:p>
          <w:p w:rsidR="00E73E77" w:rsidRPr="002C7F20" w:rsidRDefault="00E73E7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E73E77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jóváhagyásos</w:t>
            </w:r>
            <w:proofErr w:type="spellEnd"/>
            <w:r>
              <w:rPr>
                <w:rFonts w:cstheme="minorHAnsi"/>
              </w:rPr>
              <w:t xml:space="preserve">, BA2 és BA3 Tárgyalkotó szakok, 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7 fő</w:t>
            </w:r>
          </w:p>
        </w:tc>
      </w:tr>
      <w:tr w:rsidR="00572625" w:rsidRPr="002C7F20" w:rsidTr="00E16D23">
        <w:trPr>
          <w:trHeight w:val="705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2C7F20" w:rsidTr="00E16D23">
        <w:trPr>
          <w:trHeight w:val="903"/>
        </w:trPr>
        <w:tc>
          <w:tcPr>
            <w:tcW w:w="9498" w:type="dxa"/>
            <w:gridSpan w:val="5"/>
          </w:tcPr>
          <w:p w:rsidR="003F12BB" w:rsidRPr="003F12BB" w:rsidRDefault="003F12BB" w:rsidP="003F12BB">
            <w:r w:rsidRPr="003F12BB">
              <w:rPr>
                <w:b/>
              </w:rPr>
              <w:t xml:space="preserve">A </w:t>
            </w:r>
            <w:proofErr w:type="gramStart"/>
            <w:r w:rsidRPr="003F12BB">
              <w:rPr>
                <w:b/>
              </w:rPr>
              <w:t>kurzus</w:t>
            </w:r>
            <w:proofErr w:type="gramEnd"/>
            <w:r w:rsidRPr="003F12BB">
              <w:rPr>
                <w:b/>
              </w:rPr>
              <w:t xml:space="preserve"> célja</w:t>
            </w:r>
            <w:r w:rsidRPr="003F12BB">
              <w:t>, hogy</w:t>
            </w:r>
          </w:p>
          <w:p w:rsidR="003F12BB" w:rsidRDefault="003F12BB" w:rsidP="003F12BB">
            <w:r>
              <w:t xml:space="preserve">- a hallgatók a meglévő szakmai tudásuk integrálásával, azonban az ismert sémákból kilépve gondolkozzanak és </w:t>
            </w:r>
            <w:proofErr w:type="spellStart"/>
            <w:r>
              <w:t>elmezzék</w:t>
            </w:r>
            <w:proofErr w:type="spellEnd"/>
            <w:r>
              <w:t xml:space="preserve"> az általuk alkalmazott és gyakorolt tervezési folyamatokat. A közismert, </w:t>
            </w:r>
            <w:proofErr w:type="gramStart"/>
            <w:r>
              <w:t>klasszikus</w:t>
            </w:r>
            <w:proofErr w:type="gramEnd"/>
            <w:r>
              <w:t xml:space="preserve"> ékszerek/tárgyak megjelenési formáit, funkcióit és/vagy esztétikáját helyezzék új megvilágításba illetve olyan ékszereket/tárgyakat hozzanak létre, amelyek kilépnek az általánosan elfogadott keretekből.</w:t>
            </w:r>
          </w:p>
          <w:p w:rsidR="003F12BB" w:rsidRDefault="003F12BB" w:rsidP="003F12BB">
            <w:r>
              <w:t xml:space="preserve">- a hallgatók egyéni tervezői </w:t>
            </w:r>
            <w:proofErr w:type="gramStart"/>
            <w:r>
              <w:t>spektrumának</w:t>
            </w:r>
            <w:proofErr w:type="gramEnd"/>
            <w:r>
              <w:t xml:space="preserve"> és alkotói tudástárának bővítése.</w:t>
            </w:r>
          </w:p>
          <w:p w:rsidR="003F12BB" w:rsidRPr="002C7F20" w:rsidRDefault="003F12BB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Tanulási eredmények (fejlesztendő szakmai és általános </w:t>
            </w:r>
            <w:proofErr w:type="gramStart"/>
            <w:r w:rsidRPr="002C7F20">
              <w:rPr>
                <w:rFonts w:cstheme="minorHAnsi"/>
                <w:bCs/>
              </w:rPr>
              <w:t>kompetenciák</w:t>
            </w:r>
            <w:proofErr w:type="gramEnd"/>
            <w:r w:rsidRPr="002C7F20">
              <w:rPr>
                <w:rFonts w:cstheme="minorHAnsi"/>
                <w:bCs/>
              </w:rPr>
              <w:t>):</w:t>
            </w:r>
          </w:p>
          <w:p w:rsidR="003F12BB" w:rsidRPr="002C7F20" w:rsidRDefault="003F12B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3F12BB" w:rsidRDefault="003F12BB" w:rsidP="003F12BB">
            <w:r>
              <w:t>Tudás</w:t>
            </w:r>
            <w:proofErr w:type="gramStart"/>
            <w:r>
              <w:t>:  A</w:t>
            </w:r>
            <w:proofErr w:type="gramEnd"/>
            <w:r>
              <w:t xml:space="preserve"> kortárs művészeti szcéna és meghatározó nemzetközi alkotók </w:t>
            </w:r>
          </w:p>
          <w:p w:rsidR="003F12BB" w:rsidRDefault="003F12BB" w:rsidP="003F12BB">
            <w:pPr>
              <w:ind w:left="780"/>
            </w:pPr>
            <w:r>
              <w:t xml:space="preserve">munkáinak mélyebb megismerése. A designhoz kapcsolódó </w:t>
            </w:r>
            <w:proofErr w:type="gramStart"/>
            <w:r>
              <w:t>szakmai    tervezési</w:t>
            </w:r>
            <w:proofErr w:type="gramEnd"/>
            <w:r>
              <w:t xml:space="preserve"> folyamatok és technológiák kiegészítése az autonóm ékszer </w:t>
            </w:r>
            <w:proofErr w:type="spellStart"/>
            <w:r>
              <w:t>illetvec</w:t>
            </w:r>
            <w:proofErr w:type="spellEnd"/>
            <w:r>
              <w:t xml:space="preserve"> fémműves tárgyak képzőművészeti szemléletével. </w:t>
            </w:r>
          </w:p>
          <w:p w:rsidR="003F12BB" w:rsidRDefault="003F12BB" w:rsidP="003F12BB">
            <w:r>
              <w:t>Képesség</w:t>
            </w:r>
            <w:proofErr w:type="gramStart"/>
            <w:r>
              <w:t>:  Progresszív</w:t>
            </w:r>
            <w:proofErr w:type="gramEnd"/>
            <w:r>
              <w:t xml:space="preserve"> gondolkodásmód. Tervezési folyamat lépéseinek önálló</w:t>
            </w:r>
          </w:p>
          <w:p w:rsidR="003F12BB" w:rsidRDefault="003F12BB" w:rsidP="003F12BB">
            <w:r>
              <w:tab/>
              <w:t xml:space="preserve">        megtervezése,</w:t>
            </w:r>
            <w:r w:rsidRPr="005C149B">
              <w:t xml:space="preserve"> </w:t>
            </w:r>
            <w:r>
              <w:t>problémafelismerés és megoldás keresése.</w:t>
            </w:r>
          </w:p>
          <w:p w:rsidR="003F12BB" w:rsidRDefault="003F12BB" w:rsidP="003F12BB">
            <w:pPr>
              <w:ind w:left="720"/>
            </w:pPr>
            <w:r>
              <w:t xml:space="preserve">        Különböző megoldások feltérképezése, majd a legtesthezállóbb </w:t>
            </w:r>
          </w:p>
          <w:p w:rsidR="003F12BB" w:rsidRDefault="003F12BB" w:rsidP="003F12BB">
            <w:pPr>
              <w:ind w:left="720"/>
            </w:pPr>
            <w:r>
              <w:t xml:space="preserve">        kiválasztása. Kutatás a nemzetközi szcénában.</w:t>
            </w:r>
          </w:p>
          <w:p w:rsidR="003F12BB" w:rsidRDefault="003F12BB" w:rsidP="003F12BB">
            <w:r>
              <w:t>Attitűd</w:t>
            </w:r>
            <w:proofErr w:type="gramStart"/>
            <w:r>
              <w:t>:  Nyitottság</w:t>
            </w:r>
            <w:proofErr w:type="gramEnd"/>
            <w:r>
              <w:t>, tájékozódási és kutatási készség, elvont gondolkodás alkalmazása.</w:t>
            </w:r>
          </w:p>
          <w:p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3F12BB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 xml:space="preserve">A </w:t>
            </w:r>
            <w:proofErr w:type="gramStart"/>
            <w:r w:rsidRPr="002C7F20">
              <w:rPr>
                <w:rFonts w:cstheme="minorHAnsi"/>
                <w:bCs/>
              </w:rPr>
              <w:t>kurzus</w:t>
            </w:r>
            <w:proofErr w:type="gramEnd"/>
            <w:r w:rsidRPr="002C7F20">
              <w:rPr>
                <w:rFonts w:cstheme="minorHAnsi"/>
                <w:bCs/>
              </w:rPr>
              <w:t xml:space="preserve"> keretében feldolgozandó témakörök, témák: </w:t>
            </w:r>
          </w:p>
          <w:p w:rsidR="003F12BB" w:rsidRPr="00A619BD" w:rsidRDefault="003F12BB" w:rsidP="003F12BB">
            <w:r>
              <w:t xml:space="preserve">Elvont gondolatok, </w:t>
            </w:r>
            <w:proofErr w:type="gramStart"/>
            <w:r>
              <w:t>információ</w:t>
            </w:r>
            <w:proofErr w:type="gramEnd"/>
            <w:r>
              <w:t xml:space="preserve"> átadása/megjelenítése tárgyakon keresztül. Hagyományos és alternatív anyagok és technológiák ötvözése. Meglévő tárgyak újszerű értelmezése vagy </w:t>
            </w:r>
            <w:proofErr w:type="gramStart"/>
            <w:r>
              <w:t>kontextusba</w:t>
            </w:r>
            <w:proofErr w:type="gramEnd"/>
            <w:r>
              <w:t xml:space="preserve"> helyezése. Kortárs alkotók munkáinak elemzése.</w:t>
            </w:r>
          </w:p>
          <w:p w:rsidR="003F12BB" w:rsidRPr="002C7F20" w:rsidRDefault="003F12BB" w:rsidP="003F12B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E16D23">
        <w:trPr>
          <w:trHeight w:val="675"/>
        </w:trPr>
        <w:tc>
          <w:tcPr>
            <w:tcW w:w="9498" w:type="dxa"/>
            <w:gridSpan w:val="5"/>
          </w:tcPr>
          <w:p w:rsidR="003F12BB" w:rsidRDefault="003F12BB" w:rsidP="003F12BB">
            <w:r>
              <w:t xml:space="preserve">Az ‘out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>’ több, különböző jelentés tartalmat rejtő kifejezés. Utalhat egy gondolkodásmódra, de akár software vagy hardware csomagra, vagy akár egy olyan termékre is, amely használatba vétel előtt semmilyen ‘beavatkozást’ nem igényel a felhasználó részéről.</w:t>
            </w:r>
          </w:p>
          <w:p w:rsidR="003F12BB" w:rsidRDefault="003F12BB" w:rsidP="003F12BB"/>
          <w:p w:rsidR="003F12BB" w:rsidRDefault="003F12BB" w:rsidP="003F12BB"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során a feladat egy olyan ékszer, tárgy-illetve tárgycsoport </w:t>
            </w:r>
            <w:proofErr w:type="spellStart"/>
            <w:r>
              <w:t>megetervezése</w:t>
            </w:r>
            <w:proofErr w:type="spellEnd"/>
            <w:r>
              <w:t xml:space="preserve">, modellezése és az offline oktatási jelenlét esetében végleges kidolgozása, amely elsődleges kiindulási alapja e kifejezés bármely fent említett, de akár a szó szerinti értelmezése, (tehát akár egy tetszőleges </w:t>
            </w:r>
            <w:proofErr w:type="spellStart"/>
            <w:r>
              <w:t>funkiójú</w:t>
            </w:r>
            <w:proofErr w:type="spellEnd"/>
            <w:r>
              <w:t xml:space="preserve"> doboz is).</w:t>
            </w:r>
          </w:p>
          <w:p w:rsidR="003F12BB" w:rsidRDefault="003F12BB" w:rsidP="003F12BB">
            <w:r>
              <w:t xml:space="preserve">Ennek eldöntéséhez szükséges egy háttér kutatás elvégzése, amely kiterjed a kifejezés </w:t>
            </w:r>
            <w:proofErr w:type="gramStart"/>
            <w:r>
              <w:t>szemantikájára</w:t>
            </w:r>
            <w:proofErr w:type="gramEnd"/>
            <w:r>
              <w:t xml:space="preserve">, elvont- és tárgyi megnyilvánulásaira is. </w:t>
            </w:r>
          </w:p>
          <w:p w:rsidR="003F12BB" w:rsidRDefault="003F12BB" w:rsidP="003F12BB">
            <w:r>
              <w:t>Alapul szolgálhat továbbá a kortárs ipar-, képzőművészet és design területéről hozott példák elemzése, (a kurzusvezető által adott anyagból).</w:t>
            </w:r>
          </w:p>
          <w:p w:rsidR="003F12BB" w:rsidRDefault="003F12BB" w:rsidP="003F12BB">
            <w:r>
              <w:t xml:space="preserve">A létrehozott tárgyak </w:t>
            </w:r>
            <w:proofErr w:type="spellStart"/>
            <w:r>
              <w:t>fokuszában</w:t>
            </w:r>
            <w:proofErr w:type="spellEnd"/>
            <w:r>
              <w:t xml:space="preserve"> állhat maga a doboz, annak tartalma vagy mindkettő, legyen szó akár fizikai vagy elméleti megközelítésről. </w:t>
            </w:r>
          </w:p>
          <w:p w:rsidR="003F12BB" w:rsidRDefault="003F12BB" w:rsidP="003F12BB"/>
          <w:p w:rsidR="003F12BB" w:rsidRDefault="003F12BB" w:rsidP="003F12BB">
            <w:r>
              <w:t xml:space="preserve">A jelenlegi online </w:t>
            </w:r>
            <w:proofErr w:type="spellStart"/>
            <w:r>
              <w:t>okatási</w:t>
            </w:r>
            <w:proofErr w:type="spellEnd"/>
            <w:r>
              <w:t xml:space="preserve"> módra való tekintettel, különösen fontos olyan megoldások keresése, amelyek kivitelezése ‘otthoni’ vagy saját műhely keretein belül is megvalósíthatók.</w:t>
            </w:r>
          </w:p>
          <w:p w:rsidR="00572625" w:rsidRPr="0095755F" w:rsidRDefault="00572625" w:rsidP="0095755F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Értékelés:</w:t>
            </w:r>
          </w:p>
          <w:p w:rsidR="00572625" w:rsidRPr="002C7F20" w:rsidRDefault="00572625" w:rsidP="0005080F">
            <w:pPr>
              <w:rPr>
                <w:rFonts w:cstheme="minorHAnsi"/>
                <w:b/>
                <w:bCs/>
              </w:rPr>
            </w:pPr>
          </w:p>
        </w:tc>
      </w:tr>
      <w:tr w:rsidR="00572625" w:rsidRPr="002C7F20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95755F">
        <w:trPr>
          <w:trHeight w:val="1010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95755F">
        <w:trPr>
          <w:trHeight w:val="632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Egyéb </w:t>
            </w:r>
            <w:proofErr w:type="gramStart"/>
            <w:r w:rsidRPr="002C7F20">
              <w:rPr>
                <w:rFonts w:cstheme="minorHAnsi"/>
                <w:bCs/>
              </w:rPr>
              <w:t>információk</w:t>
            </w:r>
            <w:proofErr w:type="gramEnd"/>
            <w:r w:rsidRPr="002C7F20">
              <w:rPr>
                <w:rFonts w:cstheme="minorHAnsi"/>
                <w:bCs/>
              </w:rPr>
              <w:t>:</w:t>
            </w:r>
          </w:p>
        </w:tc>
      </w:tr>
      <w:tr w:rsidR="00572625" w:rsidRPr="002C7F20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6723D6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6723D6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  <w:gridSpan w:val="5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6723D6">
              <w:rPr>
                <w:rFonts w:cstheme="minorHAnsi"/>
                <w:bCs/>
              </w:rPr>
              <w:t xml:space="preserve"> </w:t>
            </w:r>
            <w:proofErr w:type="gramStart"/>
            <w:r w:rsidR="006723D6">
              <w:rPr>
                <w:rFonts w:cstheme="minorHAnsi"/>
                <w:bCs/>
              </w:rPr>
              <w:t>e-mail egyeztetés</w:t>
            </w:r>
            <w:proofErr w:type="gramEnd"/>
            <w:r w:rsidR="006723D6">
              <w:rPr>
                <w:rFonts w:cstheme="minorHAnsi"/>
                <w:bCs/>
              </w:rPr>
              <w:t xml:space="preserve"> szerint online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5080F"/>
    <w:rsid w:val="003F12BB"/>
    <w:rsid w:val="00442C28"/>
    <w:rsid w:val="00475558"/>
    <w:rsid w:val="00572625"/>
    <w:rsid w:val="006723D6"/>
    <w:rsid w:val="007070A2"/>
    <w:rsid w:val="0095755F"/>
    <w:rsid w:val="009A1A7F"/>
    <w:rsid w:val="00E73E77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8030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723D6"/>
    <w:rPr>
      <w:color w:val="0563C1" w:themeColor="hyperlink"/>
      <w:u w:val="single"/>
    </w:rPr>
  </w:style>
  <w:style w:type="paragraph" w:customStyle="1" w:styleId="Tblzattartalom">
    <w:name w:val="Táblázattartalom"/>
    <w:basedOn w:val="Norml"/>
    <w:rsid w:val="006723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2021-01-22T11:27:00Z</dcterms:created>
  <dcterms:modified xsi:type="dcterms:W3CDTF">2021-01-22T11:27:00Z</dcterms:modified>
</cp:coreProperties>
</file>