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957"/>
        <w:gridCol w:w="1322"/>
        <w:gridCol w:w="921"/>
        <w:gridCol w:w="1224"/>
      </w:tblGrid>
      <w:tr w:rsidR="00786D4D" w:rsidRPr="00724721" w14:paraId="5FE72013" w14:textId="77777777" w:rsidTr="00A06F50">
        <w:trPr>
          <w:trHeight w:val="56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4C3C4" w14:textId="77777777" w:rsidR="00724721" w:rsidRPr="00724721" w:rsidRDefault="00786D4D" w:rsidP="0078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neve</w:t>
            </w:r>
            <w:r w:rsidRPr="00724721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“Masterminds of contemporary </w:t>
            </w:r>
            <w:proofErr w:type="spellStart"/>
            <w:r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jewellery</w:t>
            </w:r>
            <w:proofErr w:type="spellEnd"/>
            <w:r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” </w:t>
            </w:r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(– A </w:t>
            </w:r>
            <w:proofErr w:type="spellStart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kortárs</w:t>
            </w:r>
            <w:proofErr w:type="spellEnd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ékszer</w:t>
            </w:r>
            <w:proofErr w:type="spellEnd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meghatározó</w:t>
            </w:r>
            <w:proofErr w:type="spellEnd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nemzetközi</w:t>
            </w:r>
            <w:proofErr w:type="spellEnd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mesterei</w:t>
            </w:r>
            <w:proofErr w:type="spellEnd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képzőművészeti</w:t>
            </w:r>
            <w:proofErr w:type="spellEnd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kontextusa</w:t>
            </w:r>
            <w:proofErr w:type="spellEnd"/>
            <w:r w:rsidRPr="00786D4D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786D4D" w:rsidRPr="00724721" w14:paraId="39152F35" w14:textId="77777777" w:rsidTr="00A06F50">
        <w:trPr>
          <w:trHeight w:val="56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66BFE" w14:textId="77777777" w:rsidR="005A1430" w:rsidRPr="005A1430" w:rsidRDefault="00786D4D" w:rsidP="00A06F50">
            <w:pPr>
              <w:rPr>
                <w:rFonts w:asciiTheme="majorHAnsi" w:eastAsia="Times New Roman" w:hAnsiTheme="majorHAnsi" w:cs="Times New Roman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oktatója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elérhetősége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): </w:t>
            </w:r>
            <w:r w:rsidR="005A1430" w:rsidRPr="005A143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Spengler Katalin</w:t>
            </w:r>
            <w:r w:rsidR="005A1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5A1430" w:rsidRPr="005A1430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spengler.katalin@t-online.hu</w:t>
            </w:r>
          </w:p>
          <w:p w14:paraId="1729C91E" w14:textId="77777777" w:rsidR="00724721" w:rsidRPr="005A1430" w:rsidRDefault="005A1430" w:rsidP="00A0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</w:t>
            </w:r>
            <w:r w:rsidR="00786D4D" w:rsidRPr="00724721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Vági Flóra</w:t>
            </w:r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hyperlink r:id="rId5" w:history="1">
              <w:r w:rsidR="00786D4D" w:rsidRPr="00CD06F1">
                <w:rPr>
                  <w:rStyle w:val="Hiperhivatkozs"/>
                  <w:rFonts w:ascii="Calibri" w:hAnsi="Calibri" w:cs="Times New Roman"/>
                  <w:sz w:val="22"/>
                  <w:szCs w:val="22"/>
                </w:rPr>
                <w:t>vagi</w:t>
              </w:r>
              <w:r w:rsidR="00786D4D" w:rsidRPr="00CD06F1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.flora</w:t>
              </w:r>
              <w:r w:rsidR="00786D4D" w:rsidRPr="00CD06F1">
                <w:rPr>
                  <w:rStyle w:val="Hiperhivatkozs"/>
                  <w:rFonts w:ascii="Calibri" w:hAnsi="Calibri" w:cs="Times New Roman"/>
                  <w:sz w:val="22"/>
                  <w:szCs w:val="22"/>
                </w:rPr>
                <w:t>@mome.hu</w:t>
              </w:r>
            </w:hyperlink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786D4D" w:rsidRPr="00724721" w14:paraId="1973CCEB" w14:textId="77777777" w:rsidTr="00A06F5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0DDA4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Kód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: </w:t>
            </w:r>
          </w:p>
          <w:p w14:paraId="0E03D12B" w14:textId="25E6C2FF" w:rsidR="00786D4D" w:rsidRPr="00724721" w:rsidRDefault="00172F4E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</w:rPr>
              <w:t>M-SZ-301-DI-20210112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C2A60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Kapcsolódó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tanterv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szak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szint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): </w:t>
            </w:r>
          </w:p>
          <w:p w14:paraId="0D7270DB" w14:textId="77777777" w:rsidR="00724721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Ékszer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és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fémműves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03C13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tantárgy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helye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tantervben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szemeszter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): </w:t>
            </w:r>
          </w:p>
          <w:p w14:paraId="58ED9FC9" w14:textId="77777777" w:rsidR="00724721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őszi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szemeszter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7B7AA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Kredit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3BEDBFD6" w14:textId="6B2CE1C1" w:rsidR="00786D4D" w:rsidRPr="00724721" w:rsidRDefault="00172F4E" w:rsidP="00A06F5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kredit</w:t>
            </w:r>
            <w:proofErr w:type="spellEnd"/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(a </w:t>
            </w:r>
            <w:proofErr w:type="spellStart"/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teljes</w:t>
            </w:r>
            <w:proofErr w:type="spellEnd"/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tantárgy</w:t>
            </w:r>
            <w:proofErr w:type="spellEnd"/>
            <w:r w:rsidR="00786D4D"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  <w:p w14:paraId="2AE54EBC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A3B8B" w14:textId="77777777" w:rsidR="00786D4D" w:rsidRPr="00724721" w:rsidRDefault="00786D4D" w:rsidP="00A0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Tanóraszám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: 24</w:t>
            </w:r>
          </w:p>
          <w:p w14:paraId="359B14A5" w14:textId="77777777" w:rsidR="00724721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Egyéni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hallgatói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munkaóra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786D4D" w:rsidRPr="00724721" w14:paraId="0B9CC462" w14:textId="77777777" w:rsidTr="00A06F50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91815" w14:textId="77777777" w:rsidR="00724721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Kapcsolt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kódok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DA6C2" w14:textId="77777777" w:rsidR="00724721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Típus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szeminárium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előadás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gyakorlat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konzultáció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stb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3451B" w14:textId="77777777" w:rsidR="00724721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Szab.vál-ként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felvehető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-e?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EF479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Szab.vál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esetén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sajátos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előfeltételek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7015B3B9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28510C41" w14:textId="77777777" w:rsidTr="00A06F50">
        <w:trPr>
          <w:trHeight w:val="70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6A6F7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kapcsolatai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előfeltételek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párhuzamosságok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): </w:t>
            </w:r>
          </w:p>
          <w:p w14:paraId="1DE01086" w14:textId="77777777" w:rsidR="00786D4D" w:rsidRPr="00724721" w:rsidRDefault="00786D4D" w:rsidP="00A06F50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előfeltétel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nincs</w:t>
            </w:r>
            <w:proofErr w:type="spellEnd"/>
          </w:p>
          <w:p w14:paraId="37E6A066" w14:textId="77777777" w:rsidR="00786D4D" w:rsidRPr="00724721" w:rsidRDefault="00786D4D" w:rsidP="00A06F50">
            <w:pPr>
              <w:ind w:left="720"/>
              <w:rPr>
                <w:rFonts w:ascii="Times" w:hAnsi="Times" w:cs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párhuzamos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 </w:t>
            </w:r>
          </w:p>
          <w:p w14:paraId="33DD9097" w14:textId="77777777" w:rsidR="00724721" w:rsidRDefault="00172F4E" w:rsidP="00172F4E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5A439FB" w14:textId="2967FA61" w:rsidR="00172F4E" w:rsidRPr="00724721" w:rsidRDefault="00172F4E" w:rsidP="00172F4E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kurzus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nyitott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docs-Calibri" w:hAnsi="docs-Calibri"/>
                <w:color w:val="000000"/>
                <w:sz w:val="23"/>
                <w:szCs w:val="23"/>
              </w:rPr>
              <w:t xml:space="preserve">MA1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</w:rPr>
              <w:t>Ékszer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</w:rPr>
              <w:t>fém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</w:rPr>
              <w:t>, MA1 Designelmélet</w:t>
            </w:r>
            <w:bookmarkStart w:id="0" w:name="_GoBack"/>
            <w:bookmarkEnd w:id="0"/>
          </w:p>
        </w:tc>
      </w:tr>
      <w:tr w:rsidR="00786D4D" w:rsidRPr="00724721" w14:paraId="7475E9EA" w14:textId="77777777" w:rsidTr="00A06F50">
        <w:trPr>
          <w:trHeight w:val="90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FEAAF" w14:textId="77777777" w:rsidR="00786D4D" w:rsidRDefault="00786D4D" w:rsidP="00A06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célja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alapelvei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 </w:t>
            </w:r>
          </w:p>
          <w:p w14:paraId="3CEB29F2" w14:textId="77777777" w:rsidR="00786D4D" w:rsidRPr="00786D4D" w:rsidRDefault="00786D4D" w:rsidP="00A06F50">
            <w:pPr>
              <w:rPr>
                <w:rFonts w:asciiTheme="majorHAnsi" w:hAnsiTheme="majorHAnsi" w:cs="Times New Roman"/>
                <w:color w:val="000000"/>
                <w:sz w:val="22"/>
                <w:szCs w:val="22"/>
                <w:shd w:val="clear" w:color="auto" w:fill="FFFF00"/>
              </w:rPr>
            </w:pPr>
          </w:p>
          <w:p w14:paraId="24B4F1BF" w14:textId="77777777" w:rsidR="00786D4D" w:rsidRPr="00786D4D" w:rsidRDefault="00786D4D" w:rsidP="00A06F5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CAAF524" w14:textId="77777777" w:rsidR="00786D4D" w:rsidRPr="00786D4D" w:rsidRDefault="00786D4D" w:rsidP="00A06F50">
            <w:pPr>
              <w:rPr>
                <w:rFonts w:asciiTheme="majorHAnsi" w:hAnsiTheme="majorHAns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kurzus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célja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hogy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olyan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átfogó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konceptuális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ismeretekkel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gazdagítsa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hallgatók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szakmatörténeti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tudását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amelyek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segítségével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képesek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lesznek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az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egyes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alkotók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munkáinak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analitikus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megközelítésére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és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amelyek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birtokában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az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egyéni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munkáik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és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szemléletük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is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nagy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mértékben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formálódik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A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kurzus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alatt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válogatott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meghatározó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nemzetközi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művészek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munkái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kerülnek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górcső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alá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egy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olyan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komoly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szakiró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és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kortárs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művészeti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gyüjtő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által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aki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nem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csak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az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itthon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elérhető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legnagyobb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nemzetközi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kortárs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ékszergyűjtemény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birtokosa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hanem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egyben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nemzetközi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kortárs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képzőművészeti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szcéna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meghatározó</w:t>
            </w:r>
            <w:proofErr w:type="spellEnd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786D4D">
              <w:rPr>
                <w:rFonts w:asciiTheme="majorHAnsi" w:eastAsia="Times New Roman" w:hAnsiTheme="majorHAnsi" w:cs="Times New Roman"/>
                <w:sz w:val="20"/>
                <w:szCs w:val="20"/>
              </w:rPr>
              <w:t>személyisége</w:t>
            </w:r>
            <w:proofErr w:type="spellEnd"/>
            <w:r w:rsidRPr="00786D4D">
              <w:rPr>
                <w:rFonts w:asciiTheme="majorHAnsi" w:hAnsiTheme="majorHAns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558B4E3A" w14:textId="77777777" w:rsidR="00786D4D" w:rsidRDefault="00786D4D" w:rsidP="00A06F50">
            <w:pPr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86D4D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Kurus</w:t>
            </w:r>
            <w:proofErr w:type="spellEnd"/>
            <w:r w:rsidRPr="00786D4D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D4D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oktatója</w:t>
            </w:r>
            <w:proofErr w:type="spellEnd"/>
            <w:r w:rsidRPr="00786D4D"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: Spengler Katalin</w:t>
            </w:r>
          </w:p>
          <w:p w14:paraId="5C44F357" w14:textId="77777777" w:rsidR="00786D4D" w:rsidRPr="00786D4D" w:rsidRDefault="00786D4D" w:rsidP="00A06F50">
            <w:pPr>
              <w:rPr>
                <w:rFonts w:asciiTheme="majorHAnsi" w:hAnsiTheme="majorHAnsi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C383C80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7B74116B" w14:textId="77777777" w:rsidTr="00A06F50">
        <w:trPr>
          <w:trHeight w:val="249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BBA07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Tanulási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eredmények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fejlesztendő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szakmai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általános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kompetenciák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):</w:t>
            </w:r>
          </w:p>
          <w:p w14:paraId="733CA0D7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7F3536F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Tudás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4CD4C8ED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“</w:t>
            </w: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1) Magas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design és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tárgyalkotás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terén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végzett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tervezői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alkotói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tevékenységek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alapjául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szolgáló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folyamatokat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koncepciókat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  <w:p w14:paraId="1A2D12D4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2) Magas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design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tárgyalkotás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területén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tervezési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módszertant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azokban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jártas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4E38039D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3) Magas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design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tárgyalkotás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alapvető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ötletfejlesztési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értékelési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szelekciós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módszereit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55EF8B81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4) Magas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szaknyelvet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írásos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szóbeli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vizuális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  <w:p w14:paraId="61C7BC29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5) Magas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társadalomtudományok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közül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</w:t>
            </w:r>
            <w:proofErr w:type="gram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művészettörténet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kultúrtörténet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általános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szakmaorientált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területeit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468A6B1A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6) Magas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alkalmazza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kutatásmódszertan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aktuális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formáit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  <w:p w14:paraId="473BA81A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7) Magas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alkalmazza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saját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szakterülete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továbbá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művészeti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ágak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valamint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szakterületek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kiemelten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gazdasági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társadalmi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technológiai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szakterületek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közötti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kapcsolódásokat</w:t>
            </w:r>
            <w:proofErr w:type="spellEnd"/>
          </w:p>
          <w:p w14:paraId="56ACB740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8)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Érti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egyedi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szériában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manufakturális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körülmények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között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többszörözhető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tárgyak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tervezéséhez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kivitelezéséhez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szükséges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projektmenedzsment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működését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”</w:t>
            </w:r>
          </w:p>
          <w:p w14:paraId="3AFEE8DE" w14:textId="77777777" w:rsidR="00786D4D" w:rsidRDefault="00786D4D" w:rsidP="00A06F50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</w:p>
          <w:p w14:paraId="60386596" w14:textId="77777777" w:rsidR="00786D4D" w:rsidRDefault="00786D4D" w:rsidP="00A06F50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</w:p>
          <w:p w14:paraId="6E9E1CA2" w14:textId="77777777" w:rsidR="00786D4D" w:rsidRDefault="00786D4D" w:rsidP="00A0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D5755" w14:textId="77777777" w:rsidR="00786D4D" w:rsidRPr="00724721" w:rsidRDefault="00786D4D" w:rsidP="00A0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C21AE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Képesség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56350D31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“</w:t>
            </w: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1)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design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tárgyalkotás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gyakorlása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során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tudatos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kreatív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munkát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végezni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komplexszakmai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problémákat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azonosít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old meg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tervezés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kivitelezés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során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4C47E9BE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2)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szakmai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technikai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anyagmanipulációs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tudását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magas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alkalmazni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tervezői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alkotói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elképzeléseinek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megvalósításához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7DDEE8CC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3)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progresszív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ötletfejlesztési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elveket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adaptálni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tárgyalkotó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specifikus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problémák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megoldására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  <w:p w14:paraId="6B95E4F3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4)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tudását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intuícióját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ötleteit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mint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hajtóerőt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alkalmazni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koncepciók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fejlesztésére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ötleteinek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kivitelezésére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  <w:p w14:paraId="707D2E71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5)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Releváns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adatokat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gyűjt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majd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azokat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elemzi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interpretálja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tervezői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alkotói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koncepciók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fejlesztéséhez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kivitelezéséhez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0D6BA21C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6)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magas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kommunikálni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mások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saját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tervezői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koncepcióiról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megoldásairól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folyamatairól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társaival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szakmája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szakembereivel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7536C5CA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7)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szerzett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ismeretekre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támaszkodva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tudásanyag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analízisére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feldolgozására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kezelésére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fejlesztésére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  <w:p w14:paraId="514ECA5F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8)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tárgyalkotó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tervezéshez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kötődő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háttér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kutatásokat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kísérleteket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végrehajtani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eredményeket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feldolgozni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alkalmazni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56B67F3E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9)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Tervezői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tevékenysége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során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szakterületek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szereplőivel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hatékonyan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működik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együtt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323C5A78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10)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rugalmasan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alkalmazkodni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aktuális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társadalmi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gazdasági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változásokra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relevánsan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reagálni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kihívásokra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jelenségekre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”</w:t>
            </w:r>
          </w:p>
          <w:p w14:paraId="50678B7A" w14:textId="77777777" w:rsidR="00786D4D" w:rsidRDefault="00786D4D" w:rsidP="00A06F50">
            <w:pP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</w:p>
          <w:p w14:paraId="2F5EB804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FC62C1F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Attitűd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509783B8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“</w:t>
            </w: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1)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Motivált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abban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hogy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érintett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szereplőkkel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közösen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vagy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önállóan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hozzon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létre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terveket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termékeket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alkotásokat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vagy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részt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vegyen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szakterületekkel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közös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projektek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létrehozásában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5FA4F73E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2)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Bírálatokat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véleményeket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elfogadni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illetve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megfogalmazni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Korrekt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módon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reagál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érvel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témát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vitat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párbeszédre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törekszik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56ADF7B7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3)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Nyitottan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napi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szinten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követi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aktuális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szakirodalmat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  <w:p w14:paraId="6B04FA6C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4)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tudományos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alapelvek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iránt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elkötelezett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3908045C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5)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Kompromisszumképes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039C1278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6)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Betartja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szakmájának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etikai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normáit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”</w:t>
            </w:r>
          </w:p>
          <w:p w14:paraId="157D3F4B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0F1CE7B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Autonómia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felelősségvállalás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578AFAEE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“</w:t>
            </w: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1)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Felelősséggel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gondolkodik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szakmájáról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09C969C9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2)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adott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keretrendszerben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önállóan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halad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ha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szükséges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alakítja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fejleszti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0EEC037D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3)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kutatás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folyamán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felelős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döntéseket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hoz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azok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mentén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halad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 . </w:t>
            </w:r>
          </w:p>
          <w:p w14:paraId="0F4E801F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4)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Nyitottan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kommunikatívan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vesz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részt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projektek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kialakításában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formálásában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  <w:p w14:paraId="5195D118" w14:textId="77777777" w:rsidR="00786D4D" w:rsidRPr="00724721" w:rsidRDefault="00786D4D" w:rsidP="00A06F50">
            <w:pPr>
              <w:ind w:left="113"/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5)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Elfogadja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formálja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hitelesen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képviseli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szakterületének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társadalmi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szerepét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értékeit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”</w:t>
            </w:r>
          </w:p>
          <w:p w14:paraId="7B836985" w14:textId="77777777" w:rsidR="00786D4D" w:rsidRPr="00724721" w:rsidRDefault="00786D4D" w:rsidP="00786D4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53410948" w14:textId="77777777" w:rsidTr="00A06F50">
        <w:trPr>
          <w:trHeight w:val="8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D2AB0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lastRenderedPageBreak/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keretében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feldolgozandó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témakörök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témák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 </w:t>
            </w:r>
          </w:p>
          <w:p w14:paraId="0FEB5C4F" w14:textId="77777777" w:rsidR="00786D4D" w:rsidRPr="00724721" w:rsidRDefault="00786D4D" w:rsidP="00A06F50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5513F947" w14:textId="77777777" w:rsidTr="00A06F50">
        <w:trPr>
          <w:trHeight w:val="67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DED0C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Tanulásszervezés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/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folyamatszervezés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sajátosságai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 </w:t>
            </w:r>
          </w:p>
          <w:p w14:paraId="0E4B8954" w14:textId="77777777" w:rsidR="00786D4D" w:rsidRDefault="00786D4D" w:rsidP="00A06F50">
            <w:pPr>
              <w:ind w:hanging="1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menete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egyes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foglalkozások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jellege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ütemezésük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több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tanár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esetén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akár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tanári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közreműködés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megosztását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is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jelezve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02E01631" w14:textId="77777777" w:rsidR="00786D4D" w:rsidRPr="00786D4D" w:rsidRDefault="00786D4D" w:rsidP="00786D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BFF707" w14:textId="77777777" w:rsidR="00786D4D" w:rsidRDefault="00786D4D" w:rsidP="00A06F50">
            <w:pPr>
              <w:ind w:hanging="1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474C9F6" w14:textId="77777777" w:rsidR="00786D4D" w:rsidRPr="00724721" w:rsidRDefault="00786D4D" w:rsidP="00A06F50">
            <w:pPr>
              <w:ind w:hanging="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49F36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80CA0FB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hallgatók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tennivalói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feladatai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67885FCC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5D01229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tanulás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környezete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: (pl.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tanterem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stúdió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műterem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külső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helyszín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online,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vállalati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gyakorlat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stb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.)</w:t>
            </w:r>
          </w:p>
          <w:p w14:paraId="4A55B52A" w14:textId="77777777" w:rsidR="00786D4D" w:rsidRPr="00724721" w:rsidRDefault="00786D4D" w:rsidP="00A06F50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21771497" w14:textId="77777777" w:rsidTr="00A06F50">
        <w:trPr>
          <w:trHeight w:val="65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EFDA5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lastRenderedPageBreak/>
              <w:t>Értékelés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</w:t>
            </w:r>
          </w:p>
          <w:p w14:paraId="43658F83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Több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tanár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tanáronként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külön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értékelés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esetén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tanáronként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megbontva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  <w:p w14:paraId="2A3F7613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FA17671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   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Teljesítendő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követelmények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5049A817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4C2486F" w14:textId="77777777" w:rsidR="00786D4D" w:rsidRPr="00724721" w:rsidRDefault="00786D4D" w:rsidP="00A06F50">
            <w:pPr>
              <w:ind w:left="276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Értékelés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módja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: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milyen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módszerekkel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zajlik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értékelés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{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teszt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szóbeli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felelet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gyakorlati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demonstráció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stb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.})</w:t>
            </w:r>
          </w:p>
          <w:p w14:paraId="1C618824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4B0A14C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    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értékelés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szempontjai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(mi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mindent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veszünk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figyelembe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értékelésben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): </w:t>
            </w:r>
          </w:p>
          <w:p w14:paraId="6728C0BE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697255A2" w14:textId="77777777" w:rsidTr="00A06F50">
        <w:trPr>
          <w:trHeight w:val="65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D96FB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17608E1" w14:textId="77777777" w:rsidR="00786D4D" w:rsidRPr="00724721" w:rsidRDefault="00786D4D" w:rsidP="00A06F50">
            <w:pPr>
              <w:ind w:left="276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érdemjegy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kiszámítása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egyes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értékelt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követelmények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eredménye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hogyan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jelenik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meg 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végső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érdemjegyben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? {pl.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arányok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pontok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súlyok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}):  </w:t>
            </w:r>
          </w:p>
          <w:p w14:paraId="383F7695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5B4F99C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M-KR-101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tantárgy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Kerámia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kutatás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tervezés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1.)  </w:t>
            </w:r>
            <w:proofErr w:type="spellStart"/>
            <w:proofErr w:type="gram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része</w:t>
            </w:r>
            <w:proofErr w:type="spellEnd"/>
            <w:proofErr w:type="gram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melyet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M-KR-101,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Tervezés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kurzussal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együtt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alkot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  <w:p w14:paraId="3AD8BA73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tantárgyi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jegy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számítása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során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M-KR-101,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Tervezés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jegye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duplán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számít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majd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ezzel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együtt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vesszük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számtani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átlagát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két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kurzus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érdemjegyeinek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Ezután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kerekítés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általános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szabályai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szerint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>járunk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el.</w:t>
            </w:r>
          </w:p>
          <w:p w14:paraId="2775B375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12655F15" w14:textId="77777777" w:rsidTr="00A06F50">
        <w:trPr>
          <w:trHeight w:val="135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C28A7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Kötelező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irodalom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 </w:t>
            </w:r>
          </w:p>
          <w:p w14:paraId="1EC071BA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7D7A4FD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Ajánlott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irodalom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</w:t>
            </w:r>
          </w:p>
          <w:p w14:paraId="06E17580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75BA52D8" w14:textId="77777777" w:rsidTr="00A06F50">
        <w:trPr>
          <w:trHeight w:val="109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D6937" w14:textId="77777777" w:rsidR="00724721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Egyéb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információk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</w:t>
            </w:r>
          </w:p>
        </w:tc>
      </w:tr>
      <w:tr w:rsidR="00786D4D" w:rsidRPr="00724721" w14:paraId="39FC901A" w14:textId="77777777" w:rsidTr="00A06F50"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92FF1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Máshol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/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korábban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szerzett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tudás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elismerése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/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validációs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elv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</w:t>
            </w:r>
          </w:p>
          <w:p w14:paraId="6380F39C" w14:textId="77777777" w:rsidR="00786D4D" w:rsidRPr="00724721" w:rsidRDefault="00786D4D" w:rsidP="00A06F50">
            <w:pPr>
              <w:numPr>
                <w:ilvl w:val="0"/>
                <w:numId w:val="2"/>
              </w:numPr>
              <w:ind w:left="1133"/>
              <w:jc w:val="both"/>
              <w:textAlignment w:val="baseline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nem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adható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felmentés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kurzuson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való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részvétel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teljesítés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alól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,</w:t>
            </w:r>
          </w:p>
          <w:p w14:paraId="650E9750" w14:textId="77777777" w:rsidR="00786D4D" w:rsidRPr="00724721" w:rsidRDefault="00786D4D" w:rsidP="00A06F50">
            <w:pPr>
              <w:numPr>
                <w:ilvl w:val="0"/>
                <w:numId w:val="2"/>
              </w:numPr>
              <w:ind w:left="1133"/>
              <w:jc w:val="both"/>
              <w:textAlignment w:val="baseline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felmentés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adható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egyes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kompetenciák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megszerzése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feladatok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teljesítése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alól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, </w:t>
            </w:r>
          </w:p>
          <w:p w14:paraId="7BCFCAA0" w14:textId="77777777" w:rsidR="00786D4D" w:rsidRPr="00724721" w:rsidRDefault="00786D4D" w:rsidP="00A06F50">
            <w:pPr>
              <w:numPr>
                <w:ilvl w:val="0"/>
                <w:numId w:val="2"/>
              </w:numPr>
              <w:ind w:left="1133"/>
              <w:jc w:val="both"/>
              <w:textAlignment w:val="baseline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más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tevékenységgel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egyes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feladatok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kiválhatók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, </w:t>
            </w:r>
          </w:p>
          <w:p w14:paraId="6D9D51E9" w14:textId="77777777" w:rsidR="00786D4D" w:rsidRPr="00724721" w:rsidRDefault="00786D4D" w:rsidP="00A06F50">
            <w:pPr>
              <w:numPr>
                <w:ilvl w:val="0"/>
                <w:numId w:val="2"/>
              </w:numPr>
              <w:ind w:left="1133"/>
              <w:jc w:val="both"/>
              <w:textAlignment w:val="baseline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teljes</w:t>
            </w:r>
            <w:proofErr w:type="spellEnd"/>
            <w:proofErr w:type="gram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felmentés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adható</w:t>
            </w:r>
            <w:proofErr w:type="spellEnd"/>
            <w:r w:rsidRPr="00724721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  <w:p w14:paraId="475C462A" w14:textId="77777777" w:rsidR="00786D4D" w:rsidRPr="00724721" w:rsidRDefault="00786D4D" w:rsidP="00A06F5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86D4D" w:rsidRPr="00724721" w14:paraId="30B61AFB" w14:textId="77777777" w:rsidTr="00A06F50">
        <w:trPr>
          <w:trHeight w:val="2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0FCEE" w14:textId="77777777" w:rsidR="00786D4D" w:rsidRPr="00724721" w:rsidRDefault="00786D4D" w:rsidP="00A06F50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Tanórán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kívüli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konzultációs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időpontok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 xml:space="preserve"> és </w:t>
            </w:r>
            <w:proofErr w:type="spellStart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helyszín</w:t>
            </w:r>
            <w:proofErr w:type="spellEnd"/>
            <w:r w:rsidRPr="00724721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00"/>
              </w:rPr>
              <w:t>:</w:t>
            </w:r>
          </w:p>
          <w:p w14:paraId="5763F4E0" w14:textId="77777777" w:rsidR="00786D4D" w:rsidRPr="00724721" w:rsidRDefault="00786D4D" w:rsidP="00A06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535CE59" w14:textId="77777777" w:rsidR="00786D4D" w:rsidRDefault="00786D4D" w:rsidP="00786D4D"/>
    <w:p w14:paraId="0C3A0AE5" w14:textId="77777777" w:rsidR="00786D4D" w:rsidRDefault="00786D4D" w:rsidP="00786D4D"/>
    <w:p w14:paraId="29C0AF83" w14:textId="77777777" w:rsidR="00FA3CA2" w:rsidRDefault="00FA3CA2"/>
    <w:sectPr w:rsidR="00FA3CA2" w:rsidSect="00CF6B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0AD9"/>
    <w:multiLevelType w:val="multilevel"/>
    <w:tmpl w:val="BCC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D1FA9"/>
    <w:multiLevelType w:val="multilevel"/>
    <w:tmpl w:val="925A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4D"/>
    <w:rsid w:val="00172F4E"/>
    <w:rsid w:val="005A1430"/>
    <w:rsid w:val="00786D4D"/>
    <w:rsid w:val="00CF6B6D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D773B"/>
  <w14:defaultImageDpi w14:val="300"/>
  <w15:docId w15:val="{910F0596-064F-4451-91A3-53EA5DAE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D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6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gi.flora@mo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Vagi</dc:creator>
  <cp:keywords/>
  <dc:description/>
  <cp:lastModifiedBy>Szabó Dóra</cp:lastModifiedBy>
  <cp:revision>3</cp:revision>
  <dcterms:created xsi:type="dcterms:W3CDTF">2021-07-13T10:20:00Z</dcterms:created>
  <dcterms:modified xsi:type="dcterms:W3CDTF">2021-09-01T08:07:00Z</dcterms:modified>
</cp:coreProperties>
</file>