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3">
            <w:pPr>
              <w:spacing w:after="0" w:line="24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Kurzus neve: Kerámia kutatás és tervezés 1. - TERVEZÉS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  <w:t xml:space="preserve">A kurzus oktatója/i, elérhetősége(i): Kondor Edit,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ekondor@mome.hu</w:t>
              </w:r>
            </w:hyperlink>
            <w:r w:rsidDel="00000000" w:rsidR="00000000" w:rsidRPr="00000000">
              <w:rPr>
                <w:rtl w:val="0"/>
              </w:rPr>
              <w:t xml:space="preserve">  Góg Angéla,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gogangela@gmail.com</w:t>
              </w:r>
            </w:hyperlink>
            <w:r w:rsidDel="00000000" w:rsidR="00000000" w:rsidRPr="00000000">
              <w:rPr>
                <w:rtl w:val="0"/>
              </w:rPr>
              <w:t xml:space="preserve"> , Borkovics Péter,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borkovics@gmail.hu</w:t>
              </w:r>
            </w:hyperlink>
            <w:r w:rsidDel="00000000" w:rsidR="00000000" w:rsidRPr="00000000">
              <w:rPr>
                <w:rtl w:val="0"/>
              </w:rPr>
              <w:t xml:space="preserve"> , Kemény Péter,  petkem@gmail.com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highlight w:val="cyan"/>
              </w:rPr>
            </w:pPr>
            <w:r w:rsidDel="00000000" w:rsidR="00000000" w:rsidRPr="00000000">
              <w:rPr>
                <w:rtl w:val="0"/>
              </w:rPr>
              <w:t xml:space="preserve">Kód: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M-KR-101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Kerámiatervezés MA1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tantárgy helye a tantervben (szemeszter):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 kredit (a teljes tantárgy)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Egyéni hallgatói munkaóra: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Típus: (szeminárium/előadás/</w:t>
            </w:r>
            <w:r w:rsidDel="00000000" w:rsidR="00000000" w:rsidRPr="00000000">
              <w:rPr>
                <w:u w:val="single"/>
                <w:rtl w:val="0"/>
              </w:rPr>
              <w:t xml:space="preserve">gyakorlat</w:t>
            </w:r>
            <w:r w:rsidDel="00000000" w:rsidR="00000000" w:rsidRPr="00000000">
              <w:rPr>
                <w:rtl w:val="0"/>
              </w:rPr>
              <w:t xml:space="preserve">/konzultáció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tabs>
                <w:tab w:val="left" w:pos="448"/>
                <w:tab w:val="left" w:pos="2173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előfeltétel: nincs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párhuzamos kurzus: 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M-KR-101-INTEGRALO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3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 kurzus célja és alapelvei: 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“A jövő- és életmódkutatáson alapuló tervezési stúdium sor környezet- és életmód centrikus, társadalomtudatos, problémakezelő, progresszív és innovatív szemléletet közvetít. A "Kerámia kutatás és tervezés 1-2-3." tantárgycsoport átfogja a sorozatban gyártott, a kis szériában többszörözött tárgyak tervezését és az egyedi, autonóm tárgyak alkotásától, a limitált darabszámú, a stúdió művészet között húzódó széles területet. 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A kurzus sorozat célja, hogy diplomázó hallgatóink önálló tervezőművészek, tárgyalkotó stúdió vezetők vagy modern manufaktúra alapítók legyenek. MA hallgatóink a kreatív designipar, illetve a szolgáltatás centrikus, egyedi igényeket magas színvonalon megtervezett és kivitelezett tárgyakkal kiszolgáló „új kézműves” (New Craft) közösség nemzetközi szinten is releváns tagjai lesznek.”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Tudás:</w:t>
              <w:tab/>
            </w:r>
          </w:p>
          <w:p w:rsidR="00000000" w:rsidDel="00000000" w:rsidP="00000000" w:rsidRDefault="00000000" w:rsidRPr="00000000" w14:paraId="0000003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Magas szinten ismeri a design és a tárgyalkotás terén végzett tervezői, alkotói tevékenységek alapjául szolgáló folyamatokat és koncepciókat. </w:t>
            </w:r>
          </w:p>
          <w:p w:rsidR="00000000" w:rsidDel="00000000" w:rsidP="00000000" w:rsidRDefault="00000000" w:rsidRPr="00000000" w14:paraId="0000003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Magas szinten ismeri a design és tárgyalkotás területén ismert tervezési módszertant, azokban jártas.</w:t>
            </w:r>
          </w:p>
          <w:p w:rsidR="00000000" w:rsidDel="00000000" w:rsidP="00000000" w:rsidRDefault="00000000" w:rsidRPr="00000000" w14:paraId="0000003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Magas szinten ismeri a design és tárgyalkotás alapvető ötletfejlesztési, értékelési és szelekciós módszereit.</w:t>
            </w:r>
          </w:p>
          <w:p w:rsidR="00000000" w:rsidDel="00000000" w:rsidP="00000000" w:rsidRDefault="00000000" w:rsidRPr="00000000" w14:paraId="0000003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Magas szinten Ismeri a szaknyelvet (írásos, szóbeli és vizuális).</w:t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Magas szinten Ismeri a társadalomtudományok közül a művészettörténet és a kultúrtörténet általános és szakmaorientált területeit.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Magas szinten ismeri és alkalmazza a kutatásmódszertan aktuális formáit.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Magas szinten ismeri és alkalmazza saját szakterülete, továbbá más művészeti ágak, valamint más szakterületek, kiemelten a gazdasági, társadalmi, technológiai szakterületek közötti kapcsolódásokat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Érti az egyedi és kis szériában, manufakturális körülmények között többszörözhető tárgyak tervezéséhez és kivitelezéséhez szükséges projektmenedzsment működését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Képesség:</w:t>
              <w:tab/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Képes a design és tárgyalkotás gyakorlása során tudatos és kreatív munkát végezni, komplexszakmai problémákat azonosít és old meg a tervezés és a kivitelezés során.</w:t>
            </w:r>
          </w:p>
          <w:p w:rsidR="00000000" w:rsidDel="00000000" w:rsidP="00000000" w:rsidRDefault="00000000" w:rsidRPr="00000000" w14:paraId="0000004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Képes szakmai, technikai, anyagmanipulációs tudását magas szinten alkalmazni tervezői, alkotói elképzeléseinek megvalósításához.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Képes progresszív ötletfejlesztési elveket adaptálni tárgyalkotó specifikus problémák megoldására. </w:t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Képes tudását, intuícióját és ötleteit, mint hajtóerőt alkalmazni a tervek és koncepciók fejlesztésére és ötleteinek kivitelezésére. </w:t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Releváns adatokat gyűjt, majd azokat elemzi és interpretálja a tervezői, alkotói koncepciók fejlesztéséhez és kivitelezéséhez.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Képes magas szinten kommunikálni mások és saját tervezői koncepcióiról, megoldásairól és folyamatairól társaival, szakmája szakembereivel.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7) Képes a szerzett ismeretekre támaszkodva a tudásanyag analízisére, feldolgozására, kezelésére és fejlesztésére.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8) Képes a tárgyalkotó tervezéshez kötődő háttér kutatásokat és kísérleteket végrehajtani, az eredményeket feldolgozni és alkalmazni.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9) Tervezői tevékenysége során más szakterületek szereplőivel hatékonyan működik együtt.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10) Képes rugalmasan alkalmazkodni az aktuális társadalmi és gazdasági változásokra és relevánsan reagálni a kihívásokra, jelenségekre.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4B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Attitűd:</w:t>
              <w:tab/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Motivált abban, hogy érintett szereplőkkel közösen vagy önállóan hozzon létre terveket, termékeket, alkotásokat vagy részt vegyen más szakterületekkel közös projektek létrehozásában.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Bírálatokat, véleményeket képes elfogadni, illetve megfogalmazni. Korrekt módon reagál, érvel, témát vitat, párbeszédre törekszik.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Nyitottan és napi szinten követi az aktuális szakirodalmat. 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A tudományos alapelvek iránt elkötelezett.</w:t>
            </w:r>
          </w:p>
          <w:p w:rsidR="00000000" w:rsidDel="00000000" w:rsidP="00000000" w:rsidRDefault="00000000" w:rsidRPr="00000000" w14:paraId="00000051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Kompromisszumképes.</w:t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6) Betartja szakmájának etikai normáit.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/>
            </w:pPr>
            <w:r w:rsidDel="00000000" w:rsidR="00000000" w:rsidRPr="00000000">
              <w:rPr>
                <w:rtl w:val="0"/>
              </w:rPr>
              <w:t xml:space="preserve">Autonómia és felelősségvállalás:</w:t>
              <w:tab/>
              <w:tab/>
              <w:tab/>
            </w:r>
          </w:p>
          <w:p w:rsidR="00000000" w:rsidDel="00000000" w:rsidP="00000000" w:rsidRDefault="00000000" w:rsidRPr="00000000" w14:paraId="0000005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“</w:t>
            </w: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1) Felelősséggel gondolkodik szakmájáról.</w:t>
            </w:r>
          </w:p>
          <w:p w:rsidR="00000000" w:rsidDel="00000000" w:rsidP="00000000" w:rsidRDefault="00000000" w:rsidRPr="00000000" w14:paraId="00000057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2) Az adott keretrendszerben önállóan halad, ha szükséges alakítja és fejleszti azt.</w:t>
            </w:r>
          </w:p>
          <w:p w:rsidR="00000000" w:rsidDel="00000000" w:rsidP="00000000" w:rsidRDefault="00000000" w:rsidRPr="00000000" w14:paraId="0000005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3) A kutatás folyamán felelős döntéseket hoz és azok mentén halad. . </w:t>
            </w:r>
          </w:p>
          <w:p w:rsidR="00000000" w:rsidDel="00000000" w:rsidP="00000000" w:rsidRDefault="00000000" w:rsidRPr="00000000" w14:paraId="00000059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4) Nyitottan és kommunikatívan vesz részt projektek kialakításában, formálásában. </w:t>
            </w:r>
          </w:p>
          <w:p w:rsidR="00000000" w:rsidDel="00000000" w:rsidP="00000000" w:rsidRDefault="00000000" w:rsidRPr="00000000" w14:paraId="0000005A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5) Elfogadja, formálja és hitelesen képviseli szakterületének társadalmi szerepét, értékeit. </w:t>
            </w:r>
            <w:r w:rsidDel="00000000" w:rsidR="00000000" w:rsidRPr="00000000">
              <w:rPr>
                <w:i w:val="1"/>
                <w:rtl w:val="0"/>
              </w:rPr>
              <w:t xml:space="preserve">”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i w:val="1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i w:val="1"/>
                <w:sz w:val="23"/>
                <w:szCs w:val="23"/>
                <w:highlight w:val="white"/>
                <w:rtl w:val="0"/>
              </w:rPr>
              <w:t xml:space="preserve">(M-KR-101 tantárgy leírása)</w:t>
            </w:r>
          </w:p>
          <w:p w:rsidR="00000000" w:rsidDel="00000000" w:rsidP="00000000" w:rsidRDefault="00000000" w:rsidRPr="00000000" w14:paraId="0000005C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A kurzus keretében feldolgozandó témakörök, témák: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kurzuson  2 témakör  között lehet szabadon választani.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 .  DESSERT -Food design - teríték tervezés - Góg Angéla /Kondor Edit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 CSENDÉLET- Stúdió művészetbe illeszthető autonóm egyéni tárgy és installácó tervezés /Borkovics Péter / Kemény Péter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 food design területén az ONIX étterem és a GOGAfood design stúdióval kollaborálva olyan tálalási eszközök tervezése a cél, melyek a kortárs desszertkultúra és az ahhoz kapcsolódó tálalási kultúra vizsgálatára épül. A kurzus során workshopok keretén belül ismerhető meg az aktuális terület. Kultúrttörténeti és tárgytörténeti kutatások mellett a kortárs  fogyasztói szokások és trendek megismerése,  irányzatainak feldolgozása a cé,l továbbá a jövő kutatások előrejelzéseinek  beépítésével új koncepciók felvetés, alternatív tárgyi környezet tervezése.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A kurzus távlati célja egy kiemelt szakmai eseményhez kötődő, az Onix étteremben megrendezendő Desszert vacsora tárgyi kellékeinek létrehozása illetve a fogyasztás szertartásának és környezetének közös tervezése és megteremtése.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Stúdióművészet,  az autonóm művészi önkifejezés, az egyéni utak kidolgozására ad lehetőséget a kerámia illetve az üveg médiumán keresztül. </w:t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Téma  : Csendélet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A csendélet, évszázadok óta  a tárgy és környezet viszonyában vet fel komponálási és esztétikai                 kérdéseket, kulturális nyomokat hagyva  teremti meg egy adott kor atmoszféráját , aktuális emberi  és művészi irányelveit . Kultúrtörténeti és  művészettörténeti aspektusokat vizsgálva teremthetőek olyan új kortárs tartalmak melyek  újraértelmezhetik  és felfrissíthetik ezt a klasszikus  témát. A kortárs képzőművészet ide kapcsolódó projektjeinek kutatása és elemző  feldolgozása illetve a műtárgypiac megismerése és  a tárgycsoport /installácó szakmai bemutatási lehetőségeinek  tervezése része a feladatnak. </w:t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ind w:left="134" w:hanging="134"/>
              <w:rPr/>
            </w:pPr>
            <w:bookmarkStart w:colFirst="0" w:colLast="0" w:name="_heading=h.3znysh7" w:id="3"/>
            <w:bookmarkEnd w:id="3"/>
            <w:r w:rsidDel="00000000" w:rsidR="00000000" w:rsidRPr="00000000">
              <w:rPr>
                <w:rtl w:val="0"/>
              </w:rPr>
              <w:t xml:space="preserve">A kurzus menete, az egyes foglalkozások jellege és ütemezésük (több tanár esetén akár a tanári közreműködés megosztását is jelezve: szervezés alatt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 tanulás környezete: (pl. tanterem, stúdió, műterem, külső helyszín, online, vállalati gyakorlat stb.)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Teljesítendő követelmények: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Értékelés módja: (milyen módszerekkel zajlik az értékelés {teszt, szóbeli felelet, gyakorlati demonstráció stb.})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Az értékelés szempontjai (mi mindent veszünk figyelembe az értékelésben): </w:t>
            </w:r>
          </w:p>
          <w:p w:rsidR="00000000" w:rsidDel="00000000" w:rsidP="00000000" w:rsidRDefault="00000000" w:rsidRPr="00000000" w14:paraId="00000089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félévi jegy komponensei:      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after="0" w:afterAutospacing="0" w:before="24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  <w:tab/>
              <w:t xml:space="preserve">Aktivitás, jelenlét                           </w:t>
              <w:tab/>
              <w:t xml:space="preserve">10 %            </w:t>
              <w:tab/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  <w:tab/>
              <w:t xml:space="preserve">Közös konzultáció prezentáció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  <w:tab/>
              <w:t xml:space="preserve">10 %</w:t>
              <w:tab/>
              <w:tab/>
              <w:t xml:space="preserve">    </w:t>
              <w:tab/>
              <w:t xml:space="preserve">    </w:t>
              <w:tab/>
              <w:t xml:space="preserve">                                               </w:t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  <w:tab/>
              <w:t xml:space="preserve">Kutatás tartalmi minősége            </w:t>
              <w:tab/>
              <w:t xml:space="preserve"> 20 %             </w:t>
              <w:tab/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  <w:tab/>
              <w:t xml:space="preserve">Tervezés  tartalmi minősége         </w:t>
              <w:tab/>
              <w:t xml:space="preserve"> 20 %   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afterAutospacing="0" w:before="0" w:before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  <w:tab/>
              <w:t xml:space="preserve"> Kivitelezés   formai minősége      </w:t>
              <w:tab/>
              <w:t xml:space="preserve"> 20 % 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240" w:before="0" w:beforeAutospacing="0"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Záróprezentáció                                      20 %     </w:t>
            </w:r>
          </w:p>
          <w:p w:rsidR="00000000" w:rsidDel="00000000" w:rsidP="00000000" w:rsidRDefault="00000000" w:rsidRPr="00000000" w14:paraId="00000090">
            <w:pPr>
              <w:spacing w:after="240" w:before="240" w:line="240" w:lineRule="auto"/>
              <w:ind w:left="720" w:firstLine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8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 </w:t>
              <w:tab/>
              <w:t xml:space="preserve">Értékelés:</w:t>
            </w:r>
          </w:p>
          <w:p w:rsidR="00000000" w:rsidDel="00000000" w:rsidP="00000000" w:rsidRDefault="00000000" w:rsidRPr="00000000" w14:paraId="00000099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  <w:tab/>
              <w:t xml:space="preserve">91-100%:     </w:t>
              <w:tab/>
              <w:t xml:space="preserve">jeles</w:t>
            </w:r>
          </w:p>
          <w:p w:rsidR="00000000" w:rsidDel="00000000" w:rsidP="00000000" w:rsidRDefault="00000000" w:rsidRPr="00000000" w14:paraId="0000009A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 xml:space="preserve">  81-90%:       </w:t>
              <w:tab/>
              <w:t xml:space="preserve">jó     </w:t>
              <w:tab/>
              <w:t xml:space="preserve">                                               </w:t>
            </w:r>
          </w:p>
          <w:p w:rsidR="00000000" w:rsidDel="00000000" w:rsidP="00000000" w:rsidRDefault="00000000" w:rsidRPr="00000000" w14:paraId="0000009B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</w:t>
              <w:tab/>
              <w:t xml:space="preserve">71-80%:    </w:t>
              <w:tab/>
              <w:t xml:space="preserve">közepes</w:t>
            </w:r>
          </w:p>
          <w:p w:rsidR="00000000" w:rsidDel="00000000" w:rsidP="00000000" w:rsidRDefault="00000000" w:rsidRPr="00000000" w14:paraId="0000009C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</w:t>
              <w:tab/>
              <w:t xml:space="preserve"> 61-70%:      </w:t>
              <w:tab/>
              <w:t xml:space="preserve">elégséges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</w:t>
              <w:tab/>
              <w:t xml:space="preserve">  0-60%:        </w:t>
              <w:tab/>
              <w:t xml:space="preserve">elégtelen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276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kurzus az M-KR-101 tantárgy (Kerámia kutatás és tervezés 1.)  része, melyet az M-KR-101-INTEGRALO kurzussal együtt alkot.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 tantárgyi jegy számítása során az M-KR-101, Tervezés kurzus jegye duplán számít, majd ezzel együtt vesszük a számtani átlagát a két kurzus érdemjegyeinek. Ezután a kerekítés általános szabályai szerint járunk el.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i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1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hanging="283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6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Tanórán kívüli konzultációs időpontok és helyszín:</w:t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572625"/>
  </w:style>
  <w:style w:type="paragraph" w:styleId="Cmsor2">
    <w:name w:val="heading 2"/>
    <w:basedOn w:val="Norml"/>
    <w:next w:val="Norml"/>
    <w:link w:val="Cmsor2Char"/>
    <w:qFormat w:val="1"/>
    <w:rsid w:val="00572625"/>
    <w:pPr>
      <w:keepNext w:val="1"/>
      <w:spacing w:after="60" w:before="240" w:line="240" w:lineRule="auto"/>
      <w:outlineLvl w:val="1"/>
    </w:pPr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2Char" w:customStyle="1">
    <w:name w:val="Címsor 2 Char"/>
    <w:basedOn w:val="Bekezdsalapbettpusa"/>
    <w:link w:val="Cmsor2"/>
    <w:rsid w:val="00572625"/>
    <w:rPr>
      <w:rFonts w:ascii="Arial" w:cs="Arial" w:eastAsia="PMingLiU" w:hAnsi="Arial"/>
      <w:b w:val="1"/>
      <w:bCs w:val="1"/>
      <w:i w:val="1"/>
      <w:iCs w:val="1"/>
      <w:sz w:val="24"/>
      <w:szCs w:val="24"/>
      <w:lang w:eastAsia="hu-HU"/>
    </w:rPr>
  </w:style>
  <w:style w:type="paragraph" w:styleId="Listaszerbekezds1" w:customStyle="1">
    <w:name w:val="Listaszerű bekezdés1"/>
    <w:basedOn w:val="Norml"/>
    <w:rsid w:val="00572625"/>
    <w:pPr>
      <w:spacing w:after="0" w:line="240" w:lineRule="auto"/>
      <w:ind w:left="720" w:firstLine="567"/>
      <w:contextualSpacing w:val="1"/>
      <w:jc w:val="both"/>
    </w:pPr>
    <w:rPr>
      <w:rFonts w:ascii="Calibri" w:cs="Calibri" w:eastAsia="PMingLiU" w:hAnsi="Calibri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orkovics@gmail.h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kondor@mome.hu" TargetMode="External"/><Relationship Id="rId8" Type="http://schemas.openxmlformats.org/officeDocument/2006/relationships/hyperlink" Target="mailto:gogangela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U4YsERdahx+lq7y0tSFen18KKw==">AMUW2mXjC/+rCtB5xHhMTI9zCbbaP1F/OtwOhRGDyceIOEQ2lKCohNfsnufxrFUBQ/ZKaDlVEgpxa6z3l+FOAN/wXj5OCYh9YDSz3gWmYvGxIx+2rxvXhT0BKiqswQN091T/CB/AfeiTRtD7G6ewnDMLnbtb+uggfAO+IL4Daj3TaIsDC8qsJBQ=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2020-11-10T13:19:00Z</dcterms:created>
  <dc:creator>Szőllősi Tímea</dc:creator>
</cp:coreProperties>
</file>