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525.0" w:type="dxa"/>
        <w:jc w:val="left"/>
        <w:tblInd w:w="-1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35"/>
        <w:gridCol w:w="1905"/>
        <w:gridCol w:w="1560"/>
        <w:gridCol w:w="1560"/>
        <w:gridCol w:w="2265"/>
        <w:tblGridChange w:id="0">
          <w:tblGrid>
            <w:gridCol w:w="2235"/>
            <w:gridCol w:w="1905"/>
            <w:gridCol w:w="1560"/>
            <w:gridCol w:w="1560"/>
            <w:gridCol w:w="226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Formatervező IES 1. - SZOLGÁLTATÁS ÉS RENDSZER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Csernátony Fanni,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csernatony.fanni@mome.hu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57.77343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M-FR-101-</w:t>
            </w:r>
            <w:r w:rsidDel="00000000" w:rsidR="00000000" w:rsidRPr="00000000">
              <w:rPr>
                <w:rtl w:val="0"/>
              </w:rPr>
              <w:t xml:space="preserve">SZOLG-RENDSZ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Formatervező művész MA1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(a teljes tantárgy)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32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nincs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M-FR-101-EXP-TERVEZÉS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M-FR-101-IPARI-DESIGN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 formatervezés és design megértése és gyakolatának elsajátítása, ipari design, kísérleti design, valamint a szolgáltatások és rendszerek tervezésének (service design) területein.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(M-FR-101 tantárgy leírása)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a Design Thinking és a Service Design módszertan lépései szerint épül fel. A hallgatók egy megadott szolgáltatás elemzésén és fejlesztésén dolgoznak, erre konkrét javaslatcsomagot dolgoznak ki. Az egyes tervezési szakaszokban kipróbálják a legfontosabb tervezési technikákat, különös tekintettel a design research és a co-creation eszközök használatára.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Rendszergondolkodás, empátia, kommunikációs és kooperációs készségek fejlesztése, a különböző stakeholderek igényeinek felmérését segítő kreatív technikák elsajátítása és az ezek alapján kidolgozott szempontrendszer szerinti holisztikus tervezési módszertan (service design=SD) alkalmazása.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0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08.75"/>
              <w:gridCol w:w="508.75"/>
              <w:gridCol w:w="508.75"/>
              <w:gridCol w:w="508.75"/>
              <w:tblGridChange w:id="0">
                <w:tblGrid>
                  <w:gridCol w:w="508.75"/>
                  <w:gridCol w:w="508.75"/>
                  <w:gridCol w:w="508.75"/>
                  <w:gridCol w:w="508.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Tudás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Képesség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Attitűd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Felelősségvállalás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 szolgáltatás és a szolgáltatás- tervezés definíciójának, alapfogalmainak, szaknyelvének ismerete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SD-ról szakmai diskurzust folytatni, arról önállóan ismereteket szerezni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Motivált az önálló ismeretszerzésre a SD témakörén belül és tapasztalatait megosztani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Részt tud venni SD módszereket alkalmazó projektekben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Ismeri az SD alapvető eszközeit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SD alapvető eszközei közül az adott feladathoz szükségeset kiválasztani és a gyakorlatban alkalmazni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Motivált a SD eszközök használatára</w:t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Más projektjeiben is önállóan tudja használni az SD eszközöket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Átlátja a szolgáltatások komplex rendszerét és elemeit (stakeholderek, folyamatok, touchpointok)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szolgáltatások rendszerének feltérképezése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Holisztikus szemléletét a tervezés folyamata során alkalmazza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Ismeri a kooperatív tervezés előnyeit és fontosságát a SD-hoz kapcsolódó, abban jellemzően résztvevő szakterületekkel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más szakterületet képviselő csapattársaival is kommunikálni, közös megértésre jutni és mások gondolataira, ötleteire reflektálni és építeni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Feladatainak megoldása során törekszik a kooperációra</w:t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Megtalálja a saját szerepét a csapatmunkában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Kezdeményezi saját projektjeiben mások bevonását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Ismer design kutatási módszereket és eszközöket (interjú, kérdőív, empátia térkép, stb.)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adott témán belül a felhasználók/érintettek igényeit felmérni és rendszerezni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 tervezésben a felhasználó- és emberközpontú szemlélet jellemzi, az ő igényeikből indul ki projektjei során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Szolgáltatástervezés, fizikai és digitális touchpointok megtervezése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hallgatók 3-4 fős csapatokban dolgoznak. A módszertan elméleti hátterét a workshopokon ismerik meg, az itt bemutatott technikákat a gyakorlatban alkalmazzák, ezekről rendszeresen konzultálnak az oktatóval.</w:t>
            </w:r>
          </w:p>
          <w:p w:rsidR="00000000" w:rsidDel="00000000" w:rsidP="00000000" w:rsidRDefault="00000000" w:rsidRPr="00000000" w14:paraId="00000069">
            <w:pPr>
              <w:spacing w:after="60" w:before="120" w:line="240" w:lineRule="auto"/>
              <w:ind w:left="13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kurzus (tanítás-tanulás) folyamata: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60" w:before="120" w:line="240" w:lineRule="auto"/>
              <w:ind w:left="13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211.078365706631" w:type="dxa"/>
              <w:jc w:val="left"/>
              <w:tblInd w:w="-100.0" w:type="dxa"/>
              <w:tblLayout w:type="fixed"/>
              <w:tblLook w:val="0400"/>
            </w:tblPr>
            <w:tblGrid>
              <w:gridCol w:w="1710"/>
              <w:gridCol w:w="1200"/>
              <w:gridCol w:w="2233.4301741460145"/>
              <w:gridCol w:w="1980.6471868720696"/>
              <w:gridCol w:w="2087.0010046885463"/>
              <w:tblGridChange w:id="0">
                <w:tblGrid>
                  <w:gridCol w:w="1710"/>
                  <w:gridCol w:w="1200"/>
                  <w:gridCol w:w="2233.4301741460145"/>
                  <w:gridCol w:w="1980.6471868720696"/>
                  <w:gridCol w:w="2087.0010046885463"/>
                </w:tblGrid>
              </w:tblGridChange>
            </w:tblGrid>
            <w:tr>
              <w:trPr>
                <w:cantSplit w:val="0"/>
                <w:trHeight w:val="11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B">
                  <w:pPr>
                    <w:spacing w:after="0" w:before="120" w:line="240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idő</w:t>
                  </w:r>
                </w:p>
                <w:p w:rsidR="00000000" w:rsidDel="00000000" w:rsidP="00000000" w:rsidRDefault="00000000" w:rsidRPr="00000000" w14:paraId="0000006C">
                  <w:pPr>
                    <w:spacing w:after="0" w:before="120" w:line="240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(8x4 óra)</w:t>
                  </w:r>
                </w:p>
                <w:p w:rsidR="00000000" w:rsidDel="00000000" w:rsidP="00000000" w:rsidRDefault="00000000" w:rsidRPr="00000000" w14:paraId="0000006D">
                  <w:pPr>
                    <w:spacing w:after="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E">
                  <w:pPr>
                    <w:spacing w:after="0" w:before="120" w:line="240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modul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F">
                  <w:pPr>
                    <w:spacing w:after="0" w:before="12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tartalom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0">
                  <w:pPr>
                    <w:spacing w:after="0" w:before="12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tevékenység/feladat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1">
                  <w:pPr>
                    <w:spacing w:after="0" w:before="12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elvárt eredmény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2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10.hét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3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4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Kick-off workshop:</w:t>
                    <w:br w:type="textWrapping"/>
                    <w:br w:type="textWrapping"/>
                    <w:t xml:space="preserve">Bemutatkozás, a program ismertetése, a brief ismertetése</w:t>
                    <w:br w:type="textWrapping"/>
                  </w:r>
                </w:p>
                <w:p w:rsidR="00000000" w:rsidDel="00000000" w:rsidP="00000000" w:rsidRDefault="00000000" w:rsidRPr="00000000" w14:paraId="00000075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Csapatalakítás</w:t>
                    <w:br w:type="textWrapping"/>
                    <w:br w:type="textWrapping"/>
                    <w:t xml:space="preserve">Service Design módszertani prezentáció </w:t>
                    <w:br w:type="textWrapping"/>
                    <w:br w:type="textWrapping"/>
                    <w:t xml:space="preserve">Kutatási módszerek ismertetése</w:t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6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Bemutatkozás és csapatalakítás</w:t>
                    <w:br w:type="textWrapping"/>
                  </w:r>
                </w:p>
                <w:p w:rsidR="00000000" w:rsidDel="00000000" w:rsidP="00000000" w:rsidRDefault="00000000" w:rsidRPr="00000000" w14:paraId="00000077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Prezentáció</w:t>
                    <w:br w:type="textWrapping"/>
                  </w:r>
                </w:p>
                <w:p w:rsidR="00000000" w:rsidDel="00000000" w:rsidP="00000000" w:rsidRDefault="00000000" w:rsidRPr="00000000" w14:paraId="00000078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Kutatási terv elkészítése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9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kurzus kereteinek kijelölése, a célok megfogalmazása, a Service Design alapjainak megismerése</w:t>
                    <w:br w:type="textWrapping"/>
                    <w:br w:type="textWrapping"/>
                    <w:t xml:space="preserve">A hallgatók az alkalom végére részletes kutatási tervet készítenek, a következő 3 hétben zajló kutatási folyamathoz, ezzel kijelölve a kutatásuk célját, módszereit, szerepköreit és eszközeit.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A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10.hét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B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C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Konzultáció csapatonként a kutatás 1. szakaszáról</w:t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D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Kutatási irányok pontosítása</w:t>
                    <w:br w:type="textWrapping"/>
                    <w:br w:type="textWrapping"/>
                    <w:t xml:space="preserve">Stakeholder interjúk és kérdőívek eredményeinek megosztása</w:t>
                    <w:br w:type="textWrapping"/>
                    <w:br w:type="textWrapping"/>
                    <w:t xml:space="preserve">A kutatás 2. szakaszának előkészítése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E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konzultációs alkalomra a hallgatók stakeholder interjúkat és kérdőíveket készítenek.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F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11.hét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0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1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Konzultáció csapatonként a kutatás 2. szakaszáról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2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Szekunder kutatás és megfigyelésen alapuló kutatási módszerek eredményeinek megosztása</w:t>
                    <w:br w:type="textWrapping"/>
                    <w:br w:type="textWrapping"/>
                    <w:t xml:space="preserve">Perszónák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4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konzultációs alkalomra a hallgatók szekunder, és megfigyelésen alapuló  kutatást végeznek és perszóna adatlapokat készítenek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5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11.hét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6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7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Modulzáró hallgatói prezentáció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8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hallgatók bemutatják a kutatás folyamatát és eredményeit csapatonként 10 perces vetített prezentációban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9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Vetített prezentáció</w:t>
                    <w:br w:type="textWrapping"/>
                    <w:br w:type="textWrapping"/>
                    <w:t xml:space="preserve">Kutatási dokumentáció</w:t>
                    <w:br w:type="textWrapping"/>
                    <w:br w:type="textWrapping"/>
                    <w:t xml:space="preserve">stakeholder térkép, problématérkép, perszónák, as-is user journey map</w:t>
                    <w:br w:type="textWrapping"/>
                  </w:r>
                </w:p>
                <w:p w:rsidR="00000000" w:rsidDel="00000000" w:rsidP="00000000" w:rsidRDefault="00000000" w:rsidRPr="00000000" w14:paraId="0000008A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megállapított  insightok összegzése, majd rebrief (szűkített, újraértelmezett brief) megfogalmazása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6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B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12.hét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Ötlet- és koncepció - fejlesztés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Brainstorming workshop:</w:t>
                    <w:br w:type="textWrapping"/>
                    <w:br w:type="textWrapping"/>
                    <w:t xml:space="preserve">Prezentáció és workshop a különböző ötletelési és brainstorming technikák ismertetésével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Ötletgenerálás csoportosan, </w:t>
                    <w:br w:type="textWrapping"/>
                    <w:t xml:space="preserve">brainstorming eszközök kipróbálása,</w:t>
                    <w:br w:type="textWrapping"/>
                    <w:t xml:space="preserve">tervezési irányok meghatározása 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hallgatók az alkalom végére különböző brainstorming technikákat sajátítanak el, majd ezek segítségével ötleteket generálnak. </w:t>
                  </w:r>
                </w:p>
                <w:p w:rsidR="00000000" w:rsidDel="00000000" w:rsidP="00000000" w:rsidRDefault="00000000" w:rsidRPr="00000000" w14:paraId="00000090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Tervezési irányok meghatározása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12.hét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Prototípus és  koncepció validálás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Prototyping workshop:</w:t>
                    <w:br w:type="textWrapping"/>
                    <w:t xml:space="preserve">Prezentáció és workshop a különböző prototipizálási technikák ismertetésével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Validálási fázis előkészítése</w:t>
                    <w:br w:type="textWrapping"/>
                    <w:br w:type="textWrapping"/>
                    <w:t xml:space="preserve">Prototipizálási technikák kipróbálása</w:t>
                    <w:br w:type="textWrapping"/>
                    <w:br w:type="textWrapping"/>
                    <w:t xml:space="preserve">Validálási terv elkészítése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8"/>
                      <w:szCs w:val="18"/>
                      <w:rtl w:val="0"/>
                    </w:rPr>
                    <w:t xml:space="preserve">Ötletek továbbfejlesztése üzletfejlesztési szempontból, csoportosítása, fókuszálása (Bevételek, kiadások és árképzés)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13.hét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Prototípus és  koncepció validálás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8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Konzultáció csapatonként</w:t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validálási folyamat eredményének összegzése</w:t>
                    <w:br w:type="textWrapping"/>
                    <w:t xml:space="preserve">A prototípus fejlesztése</w:t>
                    <w:br w:type="textWrapping"/>
                    <w:br w:type="textWrapping"/>
                    <w:t xml:space="preserve">Felkészülés a záró prezentációkra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B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Tesztelési dokumentáció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C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13.hét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D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Prototípus és  koncepció validálás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E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Záróprezentációk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F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csapatok által elvégzett munka bemutatása (kutatás, insight-ok, ötletek, a kiválasztott koncepció prototípusa, a validálás eredménye, végleges koncepció)   10 perc + visszajelzés csapatonként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0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Vetített prezentáció</w:t>
                    <w:br w:type="textWrapping"/>
                    <w:br w:type="textWrapping"/>
                    <w:t xml:space="preserve">Process book</w:t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tanulás környezete: </w:t>
            </w:r>
            <w:r w:rsidDel="00000000" w:rsidR="00000000" w:rsidRPr="00000000">
              <w:rPr>
                <w:rtl w:val="0"/>
              </w:rPr>
              <w:t xml:space="preserve">(pl. tanterem, stúdió, műterem, külső helyszín, online, vállalati gyakorlat stb.)</w:t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 - otthontér és projektterek</w:t>
            </w:r>
          </w:p>
        </w:tc>
      </w:tr>
      <w:tr>
        <w:trPr>
          <w:cantSplit w:val="0"/>
          <w:trHeight w:val="3795.546875000000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Teljesítendő követelmények: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végén egy 10 perces vetített prezentáció és az eredményeket (fotók, ábrák, képek, magyarázó szövegek, stb.) összefoglaló nyomtatott anyag (process book) készül.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Tartalmi elvárások: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Kutatási dokumentáció (A kutatás során használt eszközök, technikák és eredmények bemutatása, problématérkép, stakeholder térkép, a kutatás során levont következtetések, kiválasztott problématér leírása)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Koncepció dokumentáció (A koncepciót és a terv részleteit bemutató rajzok és leírások, megvalósítási terv)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Tesztelési dokumentáció (A koncepciót bemutató prototípus tesztelése, a tesztelést bemutató fotódokumentáció, az összegyűjtött visszajelzések rendszerezése és továbbfejlesztési terv)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Záróprezentáció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 módja: </w:t>
            </w:r>
            <w:r w:rsidDel="00000000" w:rsidR="00000000" w:rsidRPr="00000000">
              <w:rPr>
                <w:rtl w:val="0"/>
              </w:rPr>
              <w:t xml:space="preserve">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B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prezentációk és a leadott anyagok értékelése alapján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Az értékelés szempontjai </w:t>
            </w:r>
            <w:r w:rsidDel="00000000" w:rsidR="00000000" w:rsidRPr="00000000">
              <w:rPr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B6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Kutatás alapossága (több különböző kutatási eszköz használata, begyűjtött információk részletes elemzése)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Ötletek és koncepció minősége (Ötlet eredetisége, hasznossága, megvalósíthatósága)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leadott dokumentáció minősége (Képes és szöveges tartalom igényessége, dokumentáció strukturáltsága)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Prezentációk minősége (A vetített anyag és a szóbeli magyarázat érthetősége, komplexitása)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</w:t>
            </w:r>
            <w:r w:rsidDel="00000000" w:rsidR="00000000" w:rsidRPr="00000000">
              <w:rPr>
                <w:rtl w:val="0"/>
              </w:rPr>
              <w:t xml:space="preserve">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az M-FR-101, Formatervező IES 1. tantárgy része, melyet az M-FR-101-EXP-TERVEZÉS (Experimentális design), illetve az M-FR-101-IPARI-DESIGN (Ipari design) kurzusokkal együtt alkot.  A tantárgyi jegy kiszámítása során a három kurzusjegy egyszerű számtani átlagát vesszük, majd (ha nem egész jegyet kapunk eredményül) a kereklítés általános szabályait alkalmazzuk. </w:t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részjegy összetétele: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left="27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Jelenlét és aktivitás (20%)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Kutatási dokumentáció (15%)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Koncepció (15%)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Záróprezentáció (50%)</w:t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Polaine, A.., Lavrans, L., Reason, B.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(2013), Service Design - From Insight to Implementation, Rosenfeld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.1093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E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sernatony.fanni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r93R6mnKM5kcAYBoukYdEJZqQ==">AMUW2mVrAd6Gb+0/7XpsPO0eH4cUATQkEV5ecVTMg7mbgWlbMvhPXbPmgPSdE48yGDWeuzyMBobQJ+ATgbxFHvwwsIdVw47uybqDHK52/iHyrNzVcB2BF23hdd6VAwPoB+U96Dgy1aFGavS1Dj4gGo0r3/cE5jwwgw==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