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0.000000000002" w:type="dxa"/>
        <w:jc w:val="left"/>
        <w:tblInd w:w="0.0" w:type="dxa"/>
        <w:tblLayout w:type="fixed"/>
        <w:tblLook w:val="0400"/>
      </w:tblPr>
      <w:tblGrid>
        <w:gridCol w:w="873"/>
        <w:gridCol w:w="4036"/>
        <w:gridCol w:w="1347"/>
        <w:gridCol w:w="937"/>
        <w:gridCol w:w="1247"/>
        <w:tblGridChange w:id="0">
          <w:tblGrid>
            <w:gridCol w:w="873"/>
            <w:gridCol w:w="4036"/>
            <w:gridCol w:w="1347"/>
            <w:gridCol w:w="937"/>
            <w:gridCol w:w="124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Kurzus neve: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Ékszer és fémműves kutatás és tervezés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–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Collaboration /Kollaboráció”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kurzus oktatója/i, elérhetősége(i): Vági Flóra,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vagi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2"/>
                  <w:szCs w:val="22"/>
                  <w:u w:val="single"/>
                  <w:rtl w:val="0"/>
                </w:rPr>
                <w:t xml:space="preserve">.flora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Kód: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Kapcsolódó tanterv (szak/szint):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Ékszer és fémműves MA1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tantárgy helye a tantervben (szemeszter):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őszi szemeszter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Kredit: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 kredit (a teljes tantárgy)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Tanóraszám: 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Egyéni hallgatói munkaóra: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Kapcsolt kódok: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/konzultáció stb.)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Szab.vál-ként felvehető-e?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Szab.vál. esetén sajátos előfeltételek: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kurzus kapcsolatai (előfeltételek, párhuzamosságok):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előfeltétel: nincs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Times" w:cs="Times" w:eastAsia="Times" w:hAnsi="Times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párhuzamos kurzus: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144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M-KR-101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kurzus célja és alapelvei: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kurzus célja, hogy olyan tervezési metódusokat sajátítsanak el a hallgatók, amelyek birtokában egyéni gondolatok és koncepciók mentén lesznek képesek egy adott témát feldolgozni és tárgyakat létrehozni. A “kollaboráció” tematika egy szószerinti és átvitt értelemben vett eszköz lesz a tervezési folyamatban. A hildesheimi egyetem MA hallgatóival közös workshop keretében fognak megatott témát közösen feldolgozni és továbbgondolni, amely információk ismeretében a hallgatók a szemeszter hátralevő részében online közös konzultációk segítségével viszik tovább és dolgozzák ki egyéni projektjeiket.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Az egy hetes intenzív közös workshop a kurzushét keretében fog zajlani.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Résztvevő hallgatók: MOME Ékszer és fémműves MA1 hallgatók, oktató: Vági Flóra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HAWK  Jewellery and metal department MA hallgatói, oktató: Melanie Isverding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Tanulási eredmények (fejlesztendő szakmai és általános kompetenciák):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Tudás: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1) Magas szinten ismeri a design és a tárgyalkotás terén végzett tervezői, alkotói tevékenységek alapjául szolgáló folyamatokat és koncepciókat.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2) Magas szinten ismeri a design és tárgyalkotás területén ismert tervezési módszertant, azokban jártas.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3) Magas szinten ismeri a design és tárgyalkotás alapvető ötletfejlesztési, értékelési és szelekciós módszereit.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4) Magas szinten Ismeri a szaknyelvet (írásos, szóbeli és vizuális).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5) Magas szinten Ismeri a társadalomtudományok közül a művészettörténet és a kultúrtörténet általános és szakmaorientált területeit.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6) Magas szinten ismeri és alkalmazza a kutatásmódszertan aktuális formáit.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7) Magas szinten ismeri és alkalmazza saját szakterülete, továbbá más művészeti ágak, valamint más szakterületek, kiemelten a gazdasági, társadalmi, technológiai szakterületek közötti kapcsolódásokat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8) Érti az egyedi és kis szériában, manufakturális körülmények között többszörözhető tárgyak tervezéséhez és kivitelezéséhez szükséges projektmenedzsment működését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Képesség: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1) Képes a design és tárgyalkotás gyakorlása során tudatos és kreatív munkát végezni, komplexszakmai problémákat azonosít és old meg a tervezés és a kivitelezés során.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2) Képes szakmai, technikai, anyagmanipulációs tudását magas szinten alkalmazni tervezői, alkotói elképzeléseinek megvalósításához.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3) Képes progresszív ötletfejlesztési elveket adaptálni tárgyalkotó specifikus problémák megoldására.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4) Képes tudását, intuícióját és ötleteit, mint hajtóerőt alkalmazni a tervek és koncepciók fejlesztésére és ötleteinek kivitelezésére.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5) Releváns adatokat gyűjt, majd azokat elemzi és interpretálja a tervezői, alkotói koncepciók fejlesztéséhez és kivitelezéséhez.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6) Képes magas szinten kommunikálni mások és saját tervezői koncepcióiról, megoldásairól és folyamatairól társaival, szakmája szakembereivel.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7) Képes a szerzett ismeretekre támaszkodva a tudásanyag analízisére, feldolgozására, kezelésére és fejlesztésére.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8) Képes a tárgyalkotó tervezéshez kötődő háttér kutatásokat és kísérleteket végrehajtani, az eredményeket feldolgozni és alkalmazni.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9) Tervezői tevékenysége során más szakterületek szereplőivel hatékonyan működik együtt.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10) Képes rugalmasan alkalmazkodni az aktuális társadalmi és gazdasági változásokra és relevánsan reagálni a kihívásokra, jelenségekre.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Attitűd: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1) Motivált abban, hogy érintett szereplőkkel közösen vagy önállóan hozzon létre terveket, termékeket, alkotásokat vagy részt vegyen más szakterületekkel közös projektek létrehozásában.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2) Bírálatokat, véleményeket képes elfogadni, illetve megfogalmazni. Korrekt módon reagál, érvel, témát vitat, párbeszédre törekszik.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3) Nyitottan és napi szinten követi az aktuális szakirodalmat.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4) A tudományos alapelvek iránt elkötelezett.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5) Kompromisszumképes.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6) Betartja szakmájának etikai normáit.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Autonómia és felelősségvállalás: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1) Felelősséggel gondolkodik szakmájáról.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2) Az adott keretrendszerben önállóan halad, ha szükséges alakítja és fejleszti azt.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3) A kutatás folyamán felelős döntéseket hoz és azok mentén halad. 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4) Nyitottan és kommunikatívan vesz részt projektek kialakításában, formálásában.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13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3"/>
                <w:szCs w:val="23"/>
                <w:highlight w:val="white"/>
                <w:rtl w:val="0"/>
              </w:rPr>
              <w:t xml:space="preserve">5) Elfogadja, formálja és hitelesen képviseli szakterületének társadalmi szerepét, értékeit.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A kurzus keretében feldolgozandó témakörök, témák: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Tanulásszervezés/folyamatszervezés sajátosságai: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hanging="134"/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A hallgatók tennivalói, feladatai: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A tanulás környezete: (pl. tanterem, stúdió, műterem, külső helyszín, online, vállalati gyakorlat stb.)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lineRule="auto"/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Értékelés: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(Több tanár és tanáronként külön értékelés esetén tanáronként megbontva)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   Teljesítendő követelmények: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276" w:firstLine="0"/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Értékelés módja: (milyen módszerekkel zajlik az értékelés {teszt, szóbeli felelet, gyakorlati demonstráció stb.})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    Az értékelés szempontjai (mi mindent veszünk figyelembe az értékelésben):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" w:cs="Times" w:eastAsia="Times" w:hAnsi="Times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276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Az érdemjegy kiszámítása (az egyes értékelt követelmények eredménye hogyan jelenik meg a végső érdemjegyben? {pl. arányok, pontok, súlyok}):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kurzus az M-KR-101 tantárgy (Kerámia kutatás és tervezés 1.)  része, melyet az M-KR-101, Tervezés kurzussal együtt alkot.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 tantárgyi jegy számítása során az M-KR-101, Tervezés kurzus jegye duplán számít, majd ezzel együtt vesszük a számtani átlagát a két kurzus érdemjegyeinek. Ezután a kerekítés általános szabályai szerint járunk 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Kötelező irodalom: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Egyéb információk: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Máshol/korábban szerzett tudás elismerése/ validációs elv: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1133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1133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 felmentés adható egyes kompetenciák megszerzése, feladatok teljesítése alól, 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1133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 más, tevékenységgel egyes feladatok kiválhatók, 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1133" w:hanging="360"/>
              <w:jc w:val="both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 teljes felmentés adható.</w:t>
            </w:r>
          </w:p>
          <w:p w:rsidR="00000000" w:rsidDel="00000000" w:rsidP="00000000" w:rsidRDefault="00000000" w:rsidRPr="00000000" w14:paraId="0000009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  <w:rtl w:val="0"/>
              </w:rPr>
              <w:t xml:space="preserve">Tanórán kívüli konzultációs időpontok és helyszín: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595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859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gi.flora@mome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gi.flora@mome.hu" TargetMode="External"/><Relationship Id="rId8" Type="http://schemas.openxmlformats.org/officeDocument/2006/relationships/hyperlink" Target="mailto:vagi.flora@mo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ZZ3/BiasmI/fE31DUWX8wFcjQ==">AMUW2mWXJS+ocGPsj6z09C6wX6UicF7lX4vcs2Q3goL4cXOilW7Xxuw1KKV7K5Z591LSpOgG9btN4FGsrCacnFP2ZB54n/9JF3tWvFi+F4JyF1me6c9zAkM=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2021-07-13T10:09:00Z</dcterms:created>
  <dc:creator>Flora Vagi</dc:creator>
</cp:coreProperties>
</file>