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Kurzusleírás (tematika)</w:t>
      </w:r>
      <w:r w:rsidDel="00000000" w:rsidR="00000000" w:rsidRPr="00000000">
        <w:rPr>
          <w:rtl w:val="0"/>
        </w:rPr>
      </w:r>
    </w:p>
    <w:tbl>
      <w:tblPr>
        <w:tblStyle w:val="Table1"/>
        <w:tblW w:w="9247.0" w:type="dxa"/>
        <w:jc w:val="left"/>
        <w:tblInd w:w="21.0" w:type="dxa"/>
        <w:tblLayout w:type="fixed"/>
        <w:tblLook w:val="0000"/>
      </w:tblPr>
      <w:tblGrid>
        <w:gridCol w:w="1954"/>
        <w:gridCol w:w="1905"/>
        <w:gridCol w:w="1549"/>
        <w:gridCol w:w="1569"/>
        <w:gridCol w:w="2220"/>
        <w:gridCol w:w="50"/>
        <w:tblGridChange w:id="0">
          <w:tblGrid>
            <w:gridCol w:w="1954"/>
            <w:gridCol w:w="1905"/>
            <w:gridCol w:w="1549"/>
            <w:gridCol w:w="1569"/>
            <w:gridCol w:w="2220"/>
            <w:gridCol w:w="50"/>
          </w:tblGrid>
        </w:tblGridChange>
      </w:tblGrid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Kurzus neve: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 Multimédia előkészítő stúdiumok 2.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u1ewgy5gfh8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kurzus oktatója/i, elérhetősége(i): </w:t>
            </w:r>
          </w:p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316au34zxo8j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felelős: Sánta Balázs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balazs.santa@gmail.com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Bodóczky Antal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a.bodoczky@gmail.com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ki6yfab4zdmx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Pálfalusi Attila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pavmome@gmail.com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29wuj0vax6fk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Hajnóczy Csaba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hajnoczy.zene@gmail.com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bookmarkStart w:colFirst="0" w:colLast="0" w:name="_heading=h.ecndjr99dgc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Nagy Ágoston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stc@binaura.net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firstLine="0"/>
              <w:jc w:val="left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ellb9x4t8bb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Fábics Natália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fabics@mome.hu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rFonts w:ascii="Times New Roman" w:cs="Times New Roman" w:eastAsia="Times New Roman" w:hAnsi="Times New Roman"/>
                <w:color w:val="222222"/>
                <w:highlight w:val="white"/>
              </w:rPr>
            </w:pPr>
            <w:bookmarkStart w:colFirst="0" w:colLast="0" w:name="_heading=h.v1o34oe5md9h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9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ind w:firstLine="0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Tantervi hely: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Javasolt félév:</w:t>
            </w:r>
          </w:p>
          <w:p w:rsidR="00000000" w:rsidDel="00000000" w:rsidP="00000000" w:rsidRDefault="00000000" w:rsidRPr="00000000" w14:paraId="0000001D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Kredit: 10</w:t>
            </w:r>
          </w:p>
          <w:p w:rsidR="00000000" w:rsidDel="00000000" w:rsidP="00000000" w:rsidRDefault="00000000" w:rsidRPr="00000000" w14:paraId="0000001F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Tanóraszám: 144</w:t>
            </w:r>
          </w:p>
          <w:p w:rsidR="00000000" w:rsidDel="00000000" w:rsidP="00000000" w:rsidRDefault="00000000" w:rsidRPr="00000000" w14:paraId="00000021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Egyéni hallgatói munkaóra:</w:t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Kapcsolt kódok: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Típus: gyakorlat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Szab.vál-ként felvehető-e?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27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B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előfeltétel: Multimédia Előkésztő Stúdiumok 1.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kurzus célja és alapelvei: 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Általános cél, hogy a hallgató az Média Előkészítő Stúdiumok 1. kurzus során elsajátított szaktudását és készségeit a félév során kiadandó önálló, illetve csoportos feladatok végrehajtásakor alkalmazni tudja.</w:t>
            </w:r>
          </w:p>
          <w:p w:rsidR="00000000" w:rsidDel="00000000" w:rsidP="00000000" w:rsidRDefault="00000000" w:rsidRPr="00000000" w14:paraId="0000003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Cél az objektív alapú képalkotás általános ismereteinek bővítése, műtermi és külső helyszínen tartott gyakorlatok elvégzése, tipográfiai és mozgó tipográfiai alapismeretek elsajátítása az audiovizuális képalkotás viszonylatában. Cél, hogy a multimédia terület sokrétű feladataihoz szükséges előkészítő - a kivitelezési folyamatokat elindító - tervezési folyamatokat elsajátítsák a hallgatók.</w:t>
            </w:r>
          </w:p>
          <w:p w:rsidR="00000000" w:rsidDel="00000000" w:rsidP="00000000" w:rsidRDefault="00000000" w:rsidRPr="00000000" w14:paraId="00000034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3B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Tudás:</w:t>
            </w:r>
          </w:p>
          <w:p w:rsidR="00000000" w:rsidDel="00000000" w:rsidP="00000000" w:rsidRDefault="00000000" w:rsidRPr="00000000" w14:paraId="0000003D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médiadesign szakos feladatokoz tartozó szoftveres, hardveres, látványtervezési,</w:t>
            </w:r>
          </w:p>
          <w:p w:rsidR="00000000" w:rsidDel="00000000" w:rsidP="00000000" w:rsidRDefault="00000000" w:rsidRPr="00000000" w14:paraId="0000003E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valamint más audiovizuális szekventált tudás megszerzése.</w:t>
            </w:r>
          </w:p>
          <w:p w:rsidR="00000000" w:rsidDel="00000000" w:rsidP="00000000" w:rsidRDefault="00000000" w:rsidRPr="00000000" w14:paraId="0000003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Képesség: </w:t>
            </w:r>
          </w:p>
          <w:p w:rsidR="00000000" w:rsidDel="00000000" w:rsidP="00000000" w:rsidRDefault="00000000" w:rsidRPr="00000000" w14:paraId="00000041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hallgató képes komplex információ artikulálására, a mozgóképi idő és tér érthető kezelésére, a megfelelő jelrendszer és szakzsargon alkalmazására a tárgyalt témakörökben.</w:t>
            </w:r>
          </w:p>
          <w:p w:rsidR="00000000" w:rsidDel="00000000" w:rsidP="00000000" w:rsidRDefault="00000000" w:rsidRPr="00000000" w14:paraId="0000004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pos="2377"/>
                <w:tab w:val="left" w:pos="4641"/>
                <w:tab w:val="left" w:pos="6905"/>
              </w:tabs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Attitűd: </w:t>
              <w:br w:type="textWrapping"/>
              <w:t xml:space="preserve">A hallgató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otivált, hogy további képességeket elsajátítson, tudását gyarapítsa. Bátran és kreatívan alkalmazza az újonnan elsajátított képességeket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és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tudást. Elfogadja a kísérletezésekkel járó kudarcokat, mint a professzionalitáshoz vezető út természetes velejáróját.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2377"/>
                <w:tab w:val="left" w:pos="4641"/>
                <w:tab w:val="left" w:pos="6905"/>
              </w:tabs>
              <w:ind w:lef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Autonómia és felelősségvállalás: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Szakmai tudását, ismereteit az egyetemi feladatokon kívül is felhasználja, alkalmazza, gyakorolja, (kamatoztatja) a saját szintjének megfelelően.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kurzus keretében feldolgozandó témakörök, témák: </w:t>
              <w:br w:type="textWrapping"/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707"/>
              </w:tabs>
              <w:spacing w:after="0" w:before="0" w:line="328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tipográfiai alapismeretek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707"/>
              </w:tabs>
              <w:spacing w:after="0" w:before="0" w:line="328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tipográfiai alapvetések plakát, mozgókép, főcím és online felületek viszonylatában</w:t>
              <w:br w:type="textWrapping"/>
              <w:t xml:space="preserve">felvétel és világtástechnikai ismeretek</w:t>
              <w:br w:type="textWrapping"/>
              <w:t xml:space="preserve">stúdió és külső helyszíni gyakorlatok</w:t>
              <w:br w:type="textWrapping"/>
              <w:t xml:space="preserve">filmtörténeti ismeretek</w:t>
              <w:br w:type="textWrapping"/>
              <w:t xml:space="preserve">zenetörténeti ismretek </w:t>
              <w:br w:type="textWrapping"/>
              <w:t xml:space="preserve">kreatív kód</w:t>
              <w:br w:type="textWrapping"/>
              <w:t xml:space="preserve">online média, webes tervezés</w:t>
              <w:br w:type="textWrapping"/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707"/>
              </w:tabs>
              <w:spacing w:after="0" w:before="0" w:line="328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kurzus menete, az egyes foglalkozások jellege és ütemezésük (több tanár esetén akár a</w:t>
            </w:r>
          </w:p>
          <w:p w:rsidR="00000000" w:rsidDel="00000000" w:rsidP="00000000" w:rsidRDefault="00000000" w:rsidRPr="00000000" w14:paraId="00000056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tanári közreműködés megosztását is jelezve:</w:t>
              <w:br w:type="textWrapping"/>
            </w:r>
          </w:p>
          <w:p w:rsidR="00000000" w:rsidDel="00000000" w:rsidP="00000000" w:rsidRDefault="00000000" w:rsidRPr="00000000" w14:paraId="00000057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egyes feladatok előadási majd szemináriumi formában kerülnek kiadásra, ahol lezajlik</w:t>
            </w:r>
          </w:p>
          <w:p w:rsidR="00000000" w:rsidDel="00000000" w:rsidP="00000000" w:rsidRDefault="00000000" w:rsidRPr="00000000" w14:paraId="0000005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kontextus, az előzmények megismertetése, a feladatok tartalmi, technikai kibontása. Ezt</w:t>
            </w:r>
          </w:p>
          <w:p w:rsidR="00000000" w:rsidDel="00000000" w:rsidP="00000000" w:rsidRDefault="00000000" w:rsidRPr="00000000" w14:paraId="00000059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követően a feladattól függően a hallgatók egyénileg vagy kiscsoportos formában</w:t>
            </w:r>
          </w:p>
          <w:p w:rsidR="00000000" w:rsidDel="00000000" w:rsidP="00000000" w:rsidRDefault="00000000" w:rsidRPr="00000000" w14:paraId="0000005A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dolgoznak, rendszeres tanári konzultációval, illetve időszakos nagycsoport előtti</w:t>
            </w:r>
          </w:p>
          <w:p w:rsidR="00000000" w:rsidDel="00000000" w:rsidP="00000000" w:rsidRDefault="00000000" w:rsidRPr="00000000" w14:paraId="0000005B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prezentációkkal, ahol egymás munkáját is véleményezik.</w:t>
            </w:r>
          </w:p>
          <w:p w:rsidR="00000000" w:rsidDel="00000000" w:rsidP="00000000" w:rsidRDefault="00000000" w:rsidRPr="00000000" w14:paraId="0000005C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63">
            <w:pPr>
              <w:spacing w:after="6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6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hallgatók tennivalói, feladatai:</w:t>
            </w:r>
          </w:p>
          <w:p w:rsidR="00000000" w:rsidDel="00000000" w:rsidP="00000000" w:rsidRDefault="00000000" w:rsidRPr="00000000" w14:paraId="00000065">
            <w:pPr>
              <w:spacing w:after="6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órák illetve konzultációk rendszeres látogatása, az ütemezések betartása, a feladatok lehető legmagasabb fokon való abszolválása és prezentálása. </w:t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tanulás környezete: (pl. tanterem, stúdió, műterem, külső helyszín, online, vállalati gyakorlat stb.)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feladat típusából adódóan olyan terem szükséges, ahol a hallgatók a munkavégzést, papír alapú és egyéb formai kísérletezést, az eszközeik és alapanyagaik tárolását, valamint félkész munkáik biztonságos tárolását az egész félév során zavartalnul biztosítja, az értékek megóvása érdekében zárható módon. </w:t>
              <w:br w:type="textWrapping"/>
              <w:t xml:space="preserve">Bővebben: 14 fő befogadására alkalmas, zárható, sötétíthető terem, projektor (+ átalakítók min. HDMI és VGA), hangfal, terem adottságaitól függően vetítővászon, internet elérés, 14 fő számára, rajzolásra alkalmas asztal, papír, ceruza, internet elérés, 14 fő részére számítógép hozzáférés, Adobe programcsomag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Felvételtechnika és világítástechnika feladatokhoz: Filmstúdió (A pontos eszközigény a TechPark munkatársaival kerül egyeztetésre az adott órákat megelőzően.)</w:t>
            </w:r>
          </w:p>
          <w:p w:rsidR="00000000" w:rsidDel="00000000" w:rsidP="00000000" w:rsidRDefault="00000000" w:rsidRPr="00000000" w14:paraId="0000006A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73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(Több tanár és tanáronként külön értékelés esetén tanáronként megbontva)</w:t>
            </w:r>
          </w:p>
          <w:p w:rsidR="00000000" w:rsidDel="00000000" w:rsidP="00000000" w:rsidRDefault="00000000" w:rsidRPr="00000000" w14:paraId="00000074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Teljesítendő követelmények:</w:t>
            </w:r>
          </w:p>
          <w:p w:rsidR="00000000" w:rsidDel="00000000" w:rsidP="00000000" w:rsidRDefault="00000000" w:rsidRPr="00000000" w14:paraId="00000076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Órai, és otthoni gyakorlatok, etűdök, dokumentációk, kiadott feladatok prezentálása</w:t>
            </w:r>
          </w:p>
          <w:p w:rsidR="00000000" w:rsidDel="00000000" w:rsidP="00000000" w:rsidRDefault="00000000" w:rsidRPr="00000000" w14:paraId="00000077">
            <w:pPr>
              <w:ind w:left="27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értékelés szempontjai:</w:t>
            </w:r>
          </w:p>
          <w:p w:rsidR="00000000" w:rsidDel="00000000" w:rsidP="00000000" w:rsidRDefault="00000000" w:rsidRPr="00000000" w14:paraId="00000079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órai/konzultációs aktivitás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elkészült munkák szakmai színvonala, a komplex csoportos feladatokban való részvétel, határidők betartása,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prezentáció tartalmi, formai és szakmai minősége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ind w:left="144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rész-ismeretek értő és koherens alkalmazása</w:t>
            </w:r>
          </w:p>
          <w:p w:rsidR="00000000" w:rsidDel="00000000" w:rsidP="00000000" w:rsidRDefault="00000000" w:rsidRPr="00000000" w14:paraId="0000007E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 érdemjegy kiszámítása:</w:t>
              <w:br w:type="textWrapping"/>
            </w:r>
          </w:p>
          <w:p w:rsidR="00000000" w:rsidDel="00000000" w:rsidP="00000000" w:rsidRDefault="00000000" w:rsidRPr="00000000" w14:paraId="00000086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részfeladatok minősítése a résztvevő oktatók által külön-külön történik, a fő feladatok súlyozottan számítanak, a megszerzett ismeretek értő integrációja, szintetizálása okán. A végső jegyet az oktatók közösen határozzák meg.</w:t>
            </w:r>
          </w:p>
          <w:p w:rsidR="00000000" w:rsidDel="00000000" w:rsidP="00000000" w:rsidRDefault="00000000" w:rsidRPr="00000000" w14:paraId="00000087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Kötelező irodalom:</w:t>
            </w:r>
          </w:p>
          <w:p w:rsidR="00000000" w:rsidDel="00000000" w:rsidP="00000000" w:rsidRDefault="00000000" w:rsidRPr="00000000" w14:paraId="0000008E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Jennifer Robbins: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HTML5 Pocket Reference: Quick, Comprehensive, Indispensable (Pocket Reference.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2013, O'Reilly Media.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Eric A. Meyer: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CSS Pocket Reference: Visual Presentation for the Web.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2013, O'Reilly Media.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Andy Harris: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HTML5 and CSS3 All-in-One For Dummies.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2014, For Dummies.</w:t>
            </w:r>
          </w:p>
          <w:p w:rsidR="00000000" w:rsidDel="00000000" w:rsidP="00000000" w:rsidRDefault="00000000" w:rsidRPr="00000000" w14:paraId="00000092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Virágvölgyi Péter: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tipográfia mestersége számítógéppel.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1996 Osiris.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Gyurgyák János: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Szerkesztők és szerzők kézikönyve.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2005, Osiris.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Elen Lupton: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Thinking with 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Critical Guide for Designers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Writers, Editors, and Students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(2nd Edition) 2010, Princeton Architectural Press. 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http://facweb.cs.depaul.edu/sgrais/Thinking%20with%20Type%20-%20Ellen%20Lupton%20EDIT.pdf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t xml:space="preserve">Hajnóczy Csaba: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Hangkultúra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Budapest 2011, Moholy-Nagy Művészeti Egyetem.</w:t>
              <w:br w:type="textWrapping"/>
            </w:r>
          </w:p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Vagyóczky Tibor: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Kézikönyv Film- És TV Alkotóknak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2009, Magyar Operatőrök Társasága.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Kalapács Rita - Novák Emil: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Angol – Magyar Filmes Szó – Tár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2010, Magyar Operatőrök Társasága.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12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2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Egyéb információk: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2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A9">
            <w:pPr>
              <w:ind w:left="348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1"/>
                <w:numId w:val="1"/>
              </w:numPr>
              <w:ind w:left="1440" w:hanging="360"/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teljeskörű beszámítás/elismerés lehetséges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before="60" w:lineRule="auto"/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B2">
            <w:pPr>
              <w:ind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993" w:top="851" w:left="1474" w:right="98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–.%3."/>
      <w:lvlJc w:val="right"/>
      <w:pPr>
        <w:ind w:left="2160" w:hanging="180"/>
      </w:pPr>
      <w:rPr/>
    </w:lvl>
    <w:lvl w:ilvl="3">
      <w:start w:val="1"/>
      <w:numFmt w:val="decimal"/>
      <w:lvlText w:val="–.%3.%4."/>
      <w:lvlJc w:val="left"/>
      <w:pPr>
        <w:ind w:left="2880" w:hanging="360"/>
      </w:pPr>
      <w:rPr/>
    </w:lvl>
    <w:lvl w:ilvl="4">
      <w:start w:val="1"/>
      <w:numFmt w:val="lowerLetter"/>
      <w:lvlText w:val="–.%3.%4.%5."/>
      <w:lvlJc w:val="left"/>
      <w:pPr>
        <w:ind w:left="3600" w:hanging="360"/>
      </w:pPr>
      <w:rPr/>
    </w:lvl>
    <w:lvl w:ilvl="5">
      <w:start w:val="1"/>
      <w:numFmt w:val="lowerRoman"/>
      <w:lvlText w:val="–.%3.%4.%5.%6."/>
      <w:lvlJc w:val="right"/>
      <w:pPr>
        <w:ind w:left="4320" w:hanging="180"/>
      </w:pPr>
      <w:rPr/>
    </w:lvl>
    <w:lvl w:ilvl="6">
      <w:start w:val="1"/>
      <w:numFmt w:val="decimal"/>
      <w:lvlText w:val="–.%3.%4.%5.%6.%7."/>
      <w:lvlJc w:val="left"/>
      <w:pPr>
        <w:ind w:left="5040" w:hanging="360"/>
      </w:pPr>
      <w:rPr/>
    </w:lvl>
    <w:lvl w:ilvl="7">
      <w:start w:val="1"/>
      <w:numFmt w:val="lowerLetter"/>
      <w:lvlText w:val="–.%3.%4.%5.%6.%7.%8."/>
      <w:lvlJc w:val="left"/>
      <w:pPr>
        <w:ind w:left="5760" w:hanging="360"/>
      </w:pPr>
      <w:rPr/>
    </w:lvl>
    <w:lvl w:ilvl="8">
      <w:start w:val="1"/>
      <w:numFmt w:val="lowerRoman"/>
      <w:lvlText w:val="–.%3.%4.%5.%6.%7.%8.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hanging="360"/>
      <w:jc w:val="left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360"/>
      <w:jc w:val="left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Arial" w:cs="Arial" w:eastAsia="Arial" w:hAnsi="Arial"/>
      <w:b w:val="1"/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  <w:jc w:val="left"/>
    </w:pPr>
    <w:rPr>
      <w:rFonts w:ascii="Times New Roman" w:cs="Times New Roman" w:eastAsia="Times New Roman" w:hAnsi="Times New Roman"/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  <w:jc w:val="left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  <w:jc w:val="left"/>
    </w:pPr>
    <w:rPr>
      <w:rFonts w:ascii="Arial" w:cs="Arial" w:eastAsia="Arial" w:hAnsi="Arial"/>
      <w:i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="276" w:lineRule="auto"/>
      <w:ind w:firstLine="284"/>
      <w:jc w:val="center"/>
    </w:pPr>
    <w:rPr>
      <w:rFonts w:ascii="Cambria" w:cs="Cambria" w:eastAsia="Cambria" w:hAnsi="Cambria"/>
      <w:b w:val="1"/>
      <w:color w:val="0070c0"/>
      <w:sz w:val="32"/>
      <w:szCs w:val="32"/>
    </w:rPr>
  </w:style>
  <w:style w:type="paragraph" w:styleId="Norml" w:default="1">
    <w:name w:val="Normal"/>
    <w:qFormat w:val="1"/>
    <w:pPr>
      <w:suppressAutoHyphens w:val="1"/>
      <w:ind w:firstLine="567"/>
      <w:jc w:val="both"/>
    </w:pPr>
    <w:rPr>
      <w:rFonts w:ascii="Calibri" w:cs="Calibri" w:eastAsia="PMingLiU" w:hAnsi="Calibri"/>
      <w:sz w:val="24"/>
      <w:szCs w:val="24"/>
      <w:lang w:eastAsia="ar-SA"/>
    </w:rPr>
  </w:style>
  <w:style w:type="paragraph" w:styleId="Cmsor1">
    <w:name w:val="heading 1"/>
    <w:basedOn w:val="Norml"/>
    <w:next w:val="Szvegtrzs"/>
    <w:qFormat w:val="1"/>
    <w:pPr>
      <w:keepNext w:val="1"/>
      <w:numPr>
        <w:numId w:val="1"/>
      </w:numPr>
      <w:spacing w:after="60" w:before="240"/>
      <w:ind w:left="0"/>
      <w:jc w:val="left"/>
      <w:outlineLvl w:val="0"/>
    </w:pPr>
    <w:rPr>
      <w:rFonts w:ascii="Arial" w:cs="Arial" w:hAnsi="Arial"/>
      <w:b w:val="1"/>
      <w:bCs w:val="1"/>
      <w:kern w:val="1"/>
      <w:sz w:val="28"/>
      <w:szCs w:val="28"/>
    </w:rPr>
  </w:style>
  <w:style w:type="paragraph" w:styleId="Cmsor2">
    <w:name w:val="heading 2"/>
    <w:basedOn w:val="Norml"/>
    <w:next w:val="Szvegtrzs"/>
    <w:qFormat w:val="1"/>
    <w:pPr>
      <w:keepNext w:val="1"/>
      <w:numPr>
        <w:ilvl w:val="1"/>
        <w:numId w:val="1"/>
      </w:numPr>
      <w:spacing w:after="60" w:before="240"/>
      <w:ind w:left="0"/>
      <w:jc w:val="left"/>
      <w:outlineLvl w:val="1"/>
    </w:pPr>
    <w:rPr>
      <w:rFonts w:ascii="Arial" w:cs="Arial" w:hAnsi="Arial"/>
      <w:b w:val="1"/>
      <w:bCs w:val="1"/>
      <w:i w:val="1"/>
      <w:iCs w:val="1"/>
    </w:rPr>
  </w:style>
  <w:style w:type="paragraph" w:styleId="Cmsor3">
    <w:name w:val="heading 3"/>
    <w:basedOn w:val="Norml"/>
    <w:next w:val="Szvegtrzs"/>
    <w:qFormat w:val="1"/>
    <w:pPr>
      <w:keepNext w:val="1"/>
      <w:numPr>
        <w:ilvl w:val="2"/>
        <w:numId w:val="1"/>
      </w:numPr>
      <w:spacing w:after="60" w:before="240"/>
      <w:ind w:left="0"/>
      <w:jc w:val="left"/>
      <w:outlineLvl w:val="2"/>
    </w:pPr>
    <w:rPr>
      <w:rFonts w:ascii="Times New Roman" w:cs="Times New Roman" w:hAnsi="Times New Roman"/>
      <w:b w:val="1"/>
      <w:bCs w:val="1"/>
    </w:rPr>
  </w:style>
  <w:style w:type="paragraph" w:styleId="Cmsor4">
    <w:name w:val="heading 4"/>
    <w:basedOn w:val="Norml"/>
    <w:next w:val="Szvegtrzs"/>
    <w:qFormat w:val="1"/>
    <w:pPr>
      <w:keepNext w:val="1"/>
      <w:numPr>
        <w:ilvl w:val="3"/>
        <w:numId w:val="1"/>
      </w:numPr>
      <w:spacing w:after="60" w:before="240"/>
      <w:ind w:left="0"/>
      <w:jc w:val="left"/>
      <w:outlineLvl w:val="3"/>
    </w:pPr>
    <w:rPr>
      <w:rFonts w:ascii="Times New Roman" w:cs="Times New Roman" w:hAnsi="Times New Roman"/>
      <w:b w:val="1"/>
      <w:bCs w:val="1"/>
      <w:i w:val="1"/>
      <w:iCs w:val="1"/>
    </w:rPr>
  </w:style>
  <w:style w:type="paragraph" w:styleId="Cmsor5">
    <w:name w:val="heading 5"/>
    <w:basedOn w:val="Norml"/>
    <w:next w:val="Szvegtrzs"/>
    <w:qFormat w:val="1"/>
    <w:pPr>
      <w:numPr>
        <w:ilvl w:val="4"/>
        <w:numId w:val="1"/>
      </w:numPr>
      <w:spacing w:after="60" w:before="240"/>
      <w:ind w:left="0"/>
      <w:jc w:val="left"/>
      <w:outlineLvl w:val="4"/>
    </w:pPr>
    <w:rPr>
      <w:rFonts w:ascii="Arial" w:cs="Arial" w:hAnsi="Arial"/>
      <w:sz w:val="22"/>
      <w:szCs w:val="22"/>
    </w:rPr>
  </w:style>
  <w:style w:type="paragraph" w:styleId="Cmsor6">
    <w:name w:val="heading 6"/>
    <w:basedOn w:val="Norml"/>
    <w:next w:val="Szvegtrzs"/>
    <w:qFormat w:val="1"/>
    <w:pPr>
      <w:numPr>
        <w:ilvl w:val="5"/>
        <w:numId w:val="1"/>
      </w:numPr>
      <w:spacing w:after="60" w:before="240"/>
      <w:ind w:left="0"/>
      <w:jc w:val="left"/>
      <w:outlineLvl w:val="5"/>
    </w:pPr>
    <w:rPr>
      <w:rFonts w:ascii="Arial" w:cs="Arial" w:hAnsi="Arial"/>
      <w:i w:val="1"/>
      <w:iCs w:val="1"/>
      <w:sz w:val="22"/>
      <w:szCs w:val="22"/>
    </w:rPr>
  </w:style>
  <w:style w:type="paragraph" w:styleId="Cmsor7">
    <w:name w:val="heading 7"/>
    <w:basedOn w:val="Norml"/>
    <w:next w:val="Szvegtrzs"/>
    <w:qFormat w:val="1"/>
    <w:pPr>
      <w:numPr>
        <w:ilvl w:val="6"/>
        <w:numId w:val="1"/>
      </w:numPr>
      <w:spacing w:after="60" w:before="240"/>
      <w:ind w:left="0"/>
      <w:jc w:val="left"/>
      <w:outlineLvl w:val="6"/>
    </w:pPr>
    <w:rPr>
      <w:rFonts w:ascii="Arial" w:cs="Arial" w:hAnsi="Arial"/>
      <w:sz w:val="20"/>
      <w:szCs w:val="20"/>
    </w:rPr>
  </w:style>
  <w:style w:type="paragraph" w:styleId="Cmsor8">
    <w:name w:val="heading 8"/>
    <w:basedOn w:val="Norml"/>
    <w:next w:val="Szvegtrzs"/>
    <w:qFormat w:val="1"/>
    <w:pPr>
      <w:numPr>
        <w:ilvl w:val="7"/>
        <w:numId w:val="1"/>
      </w:numPr>
      <w:spacing w:after="60" w:before="240"/>
      <w:ind w:left="0"/>
      <w:jc w:val="left"/>
      <w:outlineLvl w:val="7"/>
    </w:pPr>
    <w:rPr>
      <w:rFonts w:ascii="Arial" w:cs="Arial" w:hAnsi="Arial"/>
      <w:i w:val="1"/>
      <w:iCs w:val="1"/>
      <w:sz w:val="20"/>
      <w:szCs w:val="20"/>
    </w:rPr>
  </w:style>
  <w:style w:type="paragraph" w:styleId="Cmsor9">
    <w:name w:val="heading 9"/>
    <w:basedOn w:val="Norml"/>
    <w:next w:val="Szvegtrzs"/>
    <w:qFormat w:val="1"/>
    <w:pPr>
      <w:numPr>
        <w:ilvl w:val="8"/>
        <w:numId w:val="1"/>
      </w:numPr>
      <w:spacing w:after="60" w:before="240"/>
      <w:ind w:left="0"/>
      <w:jc w:val="left"/>
      <w:outlineLvl w:val="8"/>
    </w:pPr>
    <w:rPr>
      <w:rFonts w:ascii="Arial" w:cs="Arial" w:hAnsi="Arial"/>
      <w:i w:val="1"/>
      <w:iCs w:val="1"/>
      <w:sz w:val="18"/>
      <w:szCs w:val="1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cs="Times New Roman"/>
    </w:rPr>
  </w:style>
  <w:style w:type="character" w:styleId="WW8Num2z0" w:customStyle="1">
    <w:name w:val="WW8Num2z0"/>
    <w:rPr>
      <w:rFonts w:cs="Times New Roman"/>
      <w:b w:val="1"/>
      <w:bCs w:val="1"/>
    </w:rPr>
  </w:style>
  <w:style w:type="character" w:styleId="WW8Num2z1" w:customStyle="1">
    <w:name w:val="WW8Num2z1"/>
    <w:rPr>
      <w:rFonts w:ascii="Times New Roman" w:cs="Times New Roman" w:hAnsi="Times New Roman"/>
    </w:rPr>
  </w:style>
  <w:style w:type="character" w:styleId="WW8Num2z2" w:customStyle="1">
    <w:name w:val="WW8Num2z2"/>
    <w:rPr>
      <w:rFonts w:cs="Times New Roman"/>
    </w:rPr>
  </w:style>
  <w:style w:type="character" w:styleId="WW8Num3z0" w:customStyle="1">
    <w:name w:val="WW8Num3z0"/>
    <w:rPr>
      <w:rFonts w:ascii="Symbol" w:cs="OpenSymbol" w:hAnsi="Symbol"/>
    </w:rPr>
  </w:style>
  <w:style w:type="character" w:styleId="WW8Num4z0" w:customStyle="1">
    <w:name w:val="WW8Num4z0"/>
    <w:rPr>
      <w:rFonts w:ascii="Symbol" w:cs="OpenSymbol" w:hAnsi="Symbol"/>
    </w:rPr>
  </w:style>
  <w:style w:type="character" w:styleId="Bekezdsalapbettpusa1" w:customStyle="1">
    <w:name w:val="Bekezdés alapbetűtípusa1"/>
  </w:style>
  <w:style w:type="character" w:styleId="Cmsor1Char" w:customStyle="1">
    <w:name w:val="Címsor 1 Char"/>
    <w:rPr>
      <w:rFonts w:ascii="Arial" w:cs="Arial" w:hAnsi="Arial"/>
      <w:b w:val="1"/>
      <w:bCs w:val="1"/>
      <w:kern w:val="1"/>
      <w:sz w:val="20"/>
      <w:szCs w:val="20"/>
      <w:lang w:val="hu-HU"/>
    </w:rPr>
  </w:style>
  <w:style w:type="character" w:styleId="Cmsor2Char" w:customStyle="1">
    <w:name w:val="Címsor 2 Char"/>
    <w:rPr>
      <w:rFonts w:ascii="Arial" w:cs="Arial" w:hAnsi="Arial"/>
      <w:b w:val="1"/>
      <w:bCs w:val="1"/>
      <w:i w:val="1"/>
      <w:iCs w:val="1"/>
      <w:sz w:val="20"/>
      <w:szCs w:val="20"/>
      <w:lang w:val="hu-HU"/>
    </w:rPr>
  </w:style>
  <w:style w:type="character" w:styleId="Cmsor3Char" w:customStyle="1">
    <w:name w:val="Címsor 3 Char"/>
    <w:rPr>
      <w:rFonts w:ascii="Times New Roman" w:cs="Times New Roman" w:hAnsi="Times New Roman"/>
      <w:b w:val="1"/>
      <w:bCs w:val="1"/>
      <w:sz w:val="20"/>
      <w:szCs w:val="20"/>
      <w:lang w:val="hu-HU"/>
    </w:rPr>
  </w:style>
  <w:style w:type="character" w:styleId="Cmsor4Char" w:customStyle="1">
    <w:name w:val="Címsor 4 Char"/>
    <w:rPr>
      <w:rFonts w:ascii="Times New Roman" w:cs="Times New Roman" w:hAnsi="Times New Roman"/>
      <w:b w:val="1"/>
      <w:bCs w:val="1"/>
      <w:i w:val="1"/>
      <w:iCs w:val="1"/>
      <w:sz w:val="20"/>
      <w:szCs w:val="20"/>
      <w:lang w:val="hu-HU"/>
    </w:rPr>
  </w:style>
  <w:style w:type="character" w:styleId="Cmsor5Char" w:customStyle="1">
    <w:name w:val="Címsor 5 Char"/>
    <w:rPr>
      <w:rFonts w:ascii="Arial" w:cs="Arial" w:hAnsi="Arial"/>
      <w:sz w:val="20"/>
      <w:szCs w:val="20"/>
      <w:lang w:val="hu-HU"/>
    </w:rPr>
  </w:style>
  <w:style w:type="character" w:styleId="Cmsor6Char" w:customStyle="1">
    <w:name w:val="Címsor 6 Char"/>
    <w:rPr>
      <w:rFonts w:ascii="Arial" w:cs="Arial" w:hAnsi="Arial"/>
      <w:i w:val="1"/>
      <w:iCs w:val="1"/>
      <w:sz w:val="20"/>
      <w:szCs w:val="20"/>
      <w:lang w:val="hu-HU"/>
    </w:rPr>
  </w:style>
  <w:style w:type="character" w:styleId="Cmsor7Char" w:customStyle="1">
    <w:name w:val="Címsor 7 Char"/>
    <w:rPr>
      <w:rFonts w:ascii="Arial" w:cs="Arial" w:hAnsi="Arial"/>
      <w:sz w:val="20"/>
      <w:szCs w:val="20"/>
      <w:lang w:val="hu-HU"/>
    </w:rPr>
  </w:style>
  <w:style w:type="character" w:styleId="Cmsor8Char" w:customStyle="1">
    <w:name w:val="Címsor 8 Char"/>
    <w:rPr>
      <w:rFonts w:ascii="Arial" w:cs="Arial" w:hAnsi="Arial"/>
      <w:i w:val="1"/>
      <w:iCs w:val="1"/>
      <w:sz w:val="20"/>
      <w:szCs w:val="20"/>
      <w:lang w:val="hu-HU"/>
    </w:rPr>
  </w:style>
  <w:style w:type="character" w:styleId="Cmsor9Char" w:customStyle="1">
    <w:name w:val="Címsor 9 Char"/>
    <w:rPr>
      <w:rFonts w:ascii="Arial" w:cs="Arial" w:hAnsi="Arial"/>
      <w:i w:val="1"/>
      <w:iCs w:val="1"/>
      <w:sz w:val="20"/>
      <w:szCs w:val="20"/>
      <w:lang w:val="hu-HU"/>
    </w:rPr>
  </w:style>
  <w:style w:type="character" w:styleId="CmChar" w:customStyle="1">
    <w:name w:val="Cím Char"/>
    <w:rPr>
      <w:rFonts w:ascii="Cambria" w:cs="Cambria" w:eastAsia="PMingLiU" w:hAnsi="Cambria"/>
      <w:b w:val="1"/>
      <w:bCs w:val="1"/>
      <w:color w:val="0070c0"/>
      <w:kern w:val="1"/>
      <w:sz w:val="32"/>
      <w:szCs w:val="32"/>
      <w:lang w:val="hu-HU"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BuborkszvegChar" w:customStyle="1">
    <w:name w:val="Buborékszöveg Char"/>
    <w:rPr>
      <w:rFonts w:ascii="Tahoma" w:cs="Tahoma" w:hAnsi="Tahoma"/>
      <w:sz w:val="16"/>
      <w:szCs w:val="16"/>
      <w:lang w:val="hu-HU"/>
    </w:rPr>
  </w:style>
  <w:style w:type="character" w:styleId="Jegyzethivatkozs1" w:customStyle="1">
    <w:name w:val="Jegyzethivatkozás1"/>
    <w:rPr>
      <w:rFonts w:cs="Times New Roman"/>
      <w:sz w:val="16"/>
      <w:szCs w:val="16"/>
    </w:rPr>
  </w:style>
  <w:style w:type="character" w:styleId="JegyzetszvegChar" w:customStyle="1">
    <w:name w:val="Jegyzetszöveg Char"/>
    <w:rPr>
      <w:rFonts w:ascii="Calibri" w:cs="Calibri" w:hAnsi="Calibri"/>
      <w:sz w:val="20"/>
      <w:szCs w:val="20"/>
      <w:lang w:val="hu-HU"/>
    </w:rPr>
  </w:style>
  <w:style w:type="character" w:styleId="MegjegyzstrgyaChar" w:customStyle="1">
    <w:name w:val="Megjegyzés tárgya Char"/>
    <w:rPr>
      <w:rFonts w:ascii="Calibri" w:cs="Calibri" w:hAnsi="Calibri"/>
      <w:b w:val="1"/>
      <w:bCs w:val="1"/>
      <w:sz w:val="20"/>
      <w:szCs w:val="20"/>
      <w:lang w:val="hu-HU"/>
    </w:rPr>
  </w:style>
  <w:style w:type="character" w:styleId="Mrltotthiperhivatkozs1" w:customStyle="1">
    <w:name w:val="Már látott hiperhivatkozás1"/>
    <w:rPr>
      <w:rFonts w:cs="Times New Roman"/>
      <w:color w:val="800080"/>
      <w:u w:val="single"/>
    </w:rPr>
  </w:style>
  <w:style w:type="character" w:styleId="ListLabel1" w:customStyle="1">
    <w:name w:val="ListLabel 1"/>
    <w:rPr>
      <w:rFonts w:cs="Times New Roman"/>
    </w:rPr>
  </w:style>
  <w:style w:type="character" w:styleId="ListLabel2" w:customStyle="1">
    <w:name w:val="ListLabel 2"/>
    <w:rPr>
      <w:rFonts w:cs="Times New Roman"/>
      <w:b w:val="1"/>
      <w:bCs w:val="1"/>
    </w:rPr>
  </w:style>
  <w:style w:type="character" w:styleId="ListLabel3" w:customStyle="1">
    <w:name w:val="ListLabel 3"/>
    <w:rPr>
      <w:rFonts w:eastAsia="Times New Roman"/>
    </w:rPr>
  </w:style>
  <w:style w:type="character" w:styleId="Felsorolsjel" w:customStyle="1">
    <w:name w:val="Felsorolásjel"/>
    <w:rPr>
      <w:rFonts w:ascii="OpenSymbol" w:cs="OpenSymbol" w:eastAsia="OpenSymbol" w:hAnsi="OpenSymbol"/>
    </w:rPr>
  </w:style>
  <w:style w:type="paragraph" w:styleId="Cmsor" w:customStyle="1">
    <w:name w:val="Címsor"/>
    <w:basedOn w:val="Norml"/>
    <w:next w:val="Szvegtrzs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styleId="Felirat" w:customStyle="1">
    <w:name w:val="Felirat"/>
    <w:basedOn w:val="Norml"/>
    <w:pPr>
      <w:suppressLineNumbers w:val="1"/>
      <w:spacing w:after="120" w:before="120"/>
    </w:pPr>
    <w:rPr>
      <w:rFonts w:cs="Mangal"/>
      <w:i w:val="1"/>
      <w:iCs w:val="1"/>
    </w:rPr>
  </w:style>
  <w:style w:type="paragraph" w:styleId="Trgymutat" w:customStyle="1">
    <w:name w:val="Tárgymutató"/>
    <w:basedOn w:val="Norml"/>
    <w:pPr>
      <w:suppressLineNumbers w:val="1"/>
    </w:pPr>
    <w:rPr>
      <w:rFonts w:cs="Mangal"/>
    </w:rPr>
  </w:style>
  <w:style w:type="paragraph" w:styleId="Listaszerbekezds1" w:customStyle="1">
    <w:name w:val="Listaszerű bekezdés1"/>
    <w:basedOn w:val="Norml"/>
    <w:pPr>
      <w:ind w:left="720"/>
    </w:pPr>
  </w:style>
  <w:style w:type="paragraph" w:styleId="Nv" w:customStyle="1">
    <w:name w:val="Név"/>
    <w:basedOn w:val="Norml"/>
    <w:pPr>
      <w:ind w:firstLine="0"/>
      <w:jc w:val="center"/>
    </w:pPr>
    <w:rPr>
      <w:rFonts w:ascii="Book Antiqua" w:cs="Book Antiqua" w:hAnsi="Book Antiqua"/>
      <w:b w:val="1"/>
      <w:bCs w:val="1"/>
    </w:rPr>
  </w:style>
  <w:style w:type="paragraph" w:styleId="Cm">
    <w:name w:val="Title"/>
    <w:basedOn w:val="Norml"/>
    <w:next w:val="Alcm"/>
    <w:qFormat w:val="1"/>
    <w:pPr>
      <w:spacing w:after="60" w:before="240" w:line="276" w:lineRule="auto"/>
      <w:ind w:firstLine="284"/>
      <w:jc w:val="center"/>
    </w:pPr>
    <w:rPr>
      <w:rFonts w:ascii="Cambria" w:cs="Cambria" w:hAnsi="Cambria"/>
      <w:b w:val="1"/>
      <w:bCs w:val="1"/>
      <w:color w:val="0070c0"/>
      <w:kern w:val="1"/>
      <w:sz w:val="32"/>
      <w:szCs w:val="32"/>
    </w:rPr>
  </w:style>
  <w:style w:type="paragraph" w:styleId="Alcm">
    <w:name w:val="Subtitle"/>
    <w:basedOn w:val="Cmsor"/>
    <w:next w:val="Szvegtrzs"/>
    <w:qFormat w:val="1"/>
    <w:pPr>
      <w:jc w:val="center"/>
    </w:pPr>
    <w:rPr>
      <w:i w:val="1"/>
      <w:iCs w:val="1"/>
    </w:rPr>
  </w:style>
  <w:style w:type="paragraph" w:styleId="Buborkszveg1" w:customStyle="1">
    <w:name w:val="Buborékszöveg1"/>
    <w:basedOn w:val="Norml"/>
    <w:rPr>
      <w:rFonts w:ascii="Tahoma" w:cs="Tahoma" w:hAnsi="Tahoma"/>
      <w:sz w:val="16"/>
      <w:szCs w:val="16"/>
    </w:rPr>
  </w:style>
  <w:style w:type="paragraph" w:styleId="Jegyzetszveg1" w:customStyle="1">
    <w:name w:val="Jegyzetszöveg1"/>
    <w:basedOn w:val="Norml"/>
    <w:rPr>
      <w:sz w:val="20"/>
      <w:szCs w:val="20"/>
    </w:rPr>
  </w:style>
  <w:style w:type="paragraph" w:styleId="Megjegyzstrgya1" w:customStyle="1">
    <w:name w:val="Megjegyzés tárgya1"/>
    <w:basedOn w:val="Jegyzetszveg1"/>
    <w:rPr>
      <w:b w:val="1"/>
      <w:bCs w:val="1"/>
    </w:rPr>
  </w:style>
  <w:style w:type="paragraph" w:styleId="Tblzattartalom" w:customStyle="1">
    <w:name w:val="Táblázattartalom"/>
    <w:basedOn w:val="Norml"/>
    <w:pPr>
      <w:suppressLineNumbers w:val="1"/>
    </w:pPr>
  </w:style>
  <w:style w:type="paragraph" w:styleId="Tblzatfejlc" w:customStyle="1">
    <w:name w:val="Táblázatfejléc"/>
    <w:basedOn w:val="Tblzattartalom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567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567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567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tc@binaura.net" TargetMode="External"/><Relationship Id="rId10" Type="http://schemas.openxmlformats.org/officeDocument/2006/relationships/hyperlink" Target="mailto:hajnoczy.zene@gmail.com" TargetMode="External"/><Relationship Id="rId13" Type="http://schemas.openxmlformats.org/officeDocument/2006/relationships/hyperlink" Target="http://facweb.cs.depaul.edu/sgrais/Thinking%20with%20Type%20-%20Ellen%20Lupton%20EDIT.pdf" TargetMode="External"/><Relationship Id="rId12" Type="http://schemas.openxmlformats.org/officeDocument/2006/relationships/hyperlink" Target="mailto:fabics@mome.h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avmom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lazs.santa@gmail.com" TargetMode="External"/><Relationship Id="rId8" Type="http://schemas.openxmlformats.org/officeDocument/2006/relationships/hyperlink" Target="mailto:a.bodoczky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B22OA/Q4uZyBe9rfRjCIl86LJA==">AMUW2mUqhcTJI9HVg1myykWr+u1abZAjFDpvb9Y6TzkzH2UFIo/I61PR6r4FLO80vSAnEVOGKMFkWseGYBY47l9ztab5Pjow4wzjbdIpgnaSP2afVi+RZDRjwfHGXDFOsce02xVQzY/uLh+OjFOMFif9v/5v6Xu0/wkyBad4B/n4vqpEQ3mI5hEivLTt60/tGMxPpL3BhwV5bdrOF9ykFvoLOe1uQ0YqqMHLk+eD8Rtku3NT2C3cHhw2luh7cf5VOKssUEtxjLyp0vzx5K4m6/UhQvJMhnHg9DOWhydVd+NPEIH4N9Q4m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2019-05-22T22:15:00Z</dcterms:created>
  <dc:creator>Erzsebet Csereklye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