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E9E" w14:textId="77777777" w:rsidR="00A4283F" w:rsidRDefault="00191B2A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Kurzusleírás (tematika)</w:t>
      </w:r>
    </w:p>
    <w:tbl>
      <w:tblPr>
        <w:tblStyle w:val="a"/>
        <w:tblW w:w="9270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1275"/>
        <w:gridCol w:w="1560"/>
        <w:gridCol w:w="1559"/>
        <w:gridCol w:w="2268"/>
      </w:tblGrid>
      <w:tr w:rsidR="00A4283F" w14:paraId="7A4628A9" w14:textId="77777777">
        <w:trPr>
          <w:trHeight w:val="567"/>
        </w:trPr>
        <w:tc>
          <w:tcPr>
            <w:tcW w:w="9270" w:type="dxa"/>
            <w:gridSpan w:val="5"/>
          </w:tcPr>
          <w:p w14:paraId="337A6A20" w14:textId="77777777" w:rsidR="00A4283F" w:rsidRPr="00E10487" w:rsidRDefault="00191B2A" w:rsidP="00E10487">
            <w:pPr>
              <w:pStyle w:val="Cmsor3"/>
              <w:numPr>
                <w:ilvl w:val="0"/>
                <w:numId w:val="0"/>
              </w:numPr>
              <w:spacing w:before="60"/>
              <w:rPr>
                <w:bCs w:val="0"/>
              </w:rPr>
            </w:pPr>
            <w:r w:rsidRPr="00E10487">
              <w:rPr>
                <w:bCs w:val="0"/>
              </w:rPr>
              <w:t>Kurzus neve: “Ide jön a világ!”</w:t>
            </w:r>
          </w:p>
        </w:tc>
      </w:tr>
      <w:tr w:rsidR="00A4283F" w14:paraId="5840BBFC" w14:textId="77777777">
        <w:trPr>
          <w:trHeight w:val="567"/>
        </w:trPr>
        <w:tc>
          <w:tcPr>
            <w:tcW w:w="9270" w:type="dxa"/>
            <w:gridSpan w:val="5"/>
          </w:tcPr>
          <w:p w14:paraId="4B3C02B5" w14:textId="2DDED432" w:rsidR="00A4283F" w:rsidRPr="00E10487" w:rsidRDefault="00E10487" w:rsidP="00E10487">
            <w:pPr>
              <w:pStyle w:val="Cmsor3"/>
              <w:numPr>
                <w:ilvl w:val="0"/>
                <w:numId w:val="0"/>
              </w:numPr>
              <w:spacing w:before="60"/>
              <w:rPr>
                <w:bCs w:val="0"/>
              </w:rPr>
            </w:pPr>
            <w:r w:rsidRPr="00E10487">
              <w:rPr>
                <w:bCs w:val="0"/>
              </w:rPr>
              <w:t>A kurzus oktatója, elérhetősége: Forgács Kristóf</w:t>
            </w:r>
          </w:p>
        </w:tc>
      </w:tr>
      <w:tr w:rsidR="00A4283F" w14:paraId="1A2FFB3A" w14:textId="77777777" w:rsidTr="00CB0922">
        <w:trPr>
          <w:trHeight w:val="705"/>
        </w:trPr>
        <w:tc>
          <w:tcPr>
            <w:tcW w:w="2608" w:type="dxa"/>
          </w:tcPr>
          <w:p w14:paraId="46789168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Kód:</w:t>
            </w:r>
          </w:p>
          <w:p w14:paraId="1A6F1AF9" w14:textId="36B2FC0C" w:rsidR="00A4283F" w:rsidRDefault="00CB092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922">
              <w:rPr>
                <w:rFonts w:ascii="Times New Roman" w:eastAsia="Times New Roman" w:hAnsi="Times New Roman" w:cs="Times New Roman"/>
              </w:rPr>
              <w:t>M-KF-201-IK-20192-04</w:t>
            </w:r>
          </w:p>
        </w:tc>
        <w:tc>
          <w:tcPr>
            <w:tcW w:w="1275" w:type="dxa"/>
          </w:tcPr>
          <w:p w14:paraId="336A9448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Tantervi hely:</w:t>
            </w:r>
          </w:p>
          <w:p w14:paraId="1AC74F1F" w14:textId="77777777" w:rsidR="00A4283F" w:rsidRDefault="00A428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6B331E3E" w14:textId="77777777" w:rsidR="00A4283F" w:rsidRDefault="006912A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Javasolt félév: </w:t>
            </w:r>
          </w:p>
          <w:p w14:paraId="231C2364" w14:textId="77777777" w:rsidR="006912A1" w:rsidRDefault="006912A1">
            <w:pPr>
              <w:ind w:firstLine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BA/MA szakfüggetlen</w:t>
            </w:r>
          </w:p>
        </w:tc>
        <w:tc>
          <w:tcPr>
            <w:tcW w:w="1559" w:type="dxa"/>
          </w:tcPr>
          <w:p w14:paraId="09867857" w14:textId="77777777" w:rsidR="00A4283F" w:rsidRPr="00E10487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10487">
              <w:rPr>
                <w:rFonts w:ascii="Times New Roman" w:eastAsia="Times New Roman" w:hAnsi="Times New Roman" w:cs="Times New Roman"/>
              </w:rPr>
              <w:t>Kredit: 5</w:t>
            </w:r>
          </w:p>
          <w:p w14:paraId="06C36040" w14:textId="77777777" w:rsidR="00A4283F" w:rsidRPr="00E10487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10502509" w14:textId="554D9FDE" w:rsidR="00A4283F" w:rsidRPr="00E10487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10487">
              <w:rPr>
                <w:rFonts w:ascii="Times New Roman" w:eastAsia="Times New Roman" w:hAnsi="Times New Roman" w:cs="Times New Roman"/>
              </w:rPr>
              <w:t>Tanóraszám: 48</w:t>
            </w:r>
          </w:p>
          <w:p w14:paraId="6DA97D12" w14:textId="77777777" w:rsidR="00A4283F" w:rsidRPr="00E10487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10487">
              <w:rPr>
                <w:rFonts w:ascii="Times New Roman" w:eastAsia="Times New Roman" w:hAnsi="Times New Roman" w:cs="Times New Roman"/>
              </w:rPr>
              <w:t>Egyéni hallgatói munkaóra: 102</w:t>
            </w:r>
          </w:p>
        </w:tc>
      </w:tr>
      <w:tr w:rsidR="00A4283F" w14:paraId="41FE9DAC" w14:textId="77777777" w:rsidTr="00CB0922">
        <w:trPr>
          <w:trHeight w:val="705"/>
        </w:trPr>
        <w:tc>
          <w:tcPr>
            <w:tcW w:w="2608" w:type="dxa"/>
          </w:tcPr>
          <w:p w14:paraId="3DC591E6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Kapcsolt kódok:</w:t>
            </w:r>
          </w:p>
        </w:tc>
        <w:tc>
          <w:tcPr>
            <w:tcW w:w="1275" w:type="dxa"/>
          </w:tcPr>
          <w:p w14:paraId="5F7AF66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14:paraId="0B4AA834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Szab.vál-ként felvehető-e?</w:t>
            </w:r>
          </w:p>
        </w:tc>
        <w:tc>
          <w:tcPr>
            <w:tcW w:w="3827" w:type="dxa"/>
            <w:gridSpan w:val="2"/>
          </w:tcPr>
          <w:p w14:paraId="4A2398E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Szab.vál. esetén sajátos előfeltételek:</w:t>
            </w:r>
          </w:p>
          <w:p w14:paraId="52AC95E0" w14:textId="77777777" w:rsidR="00A4283F" w:rsidRDefault="00A4283F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22549F96" w14:textId="77777777">
        <w:trPr>
          <w:trHeight w:val="705"/>
        </w:trPr>
        <w:tc>
          <w:tcPr>
            <w:tcW w:w="9270" w:type="dxa"/>
            <w:gridSpan w:val="5"/>
          </w:tcPr>
          <w:p w14:paraId="5FF3AD85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kurzus kapcsolatai (előfeltételek, párhuzamosságok): </w:t>
            </w:r>
          </w:p>
        </w:tc>
      </w:tr>
      <w:tr w:rsidR="00A4283F" w14:paraId="56DC0F1D" w14:textId="77777777">
        <w:trPr>
          <w:trHeight w:val="903"/>
        </w:trPr>
        <w:tc>
          <w:tcPr>
            <w:tcW w:w="9270" w:type="dxa"/>
            <w:gridSpan w:val="5"/>
          </w:tcPr>
          <w:p w14:paraId="237AEFEC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kurzus célja és alapelvei: </w:t>
            </w:r>
          </w:p>
          <w:p w14:paraId="3E52ED94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(a tantárgyi leírás alapján, azzal összhangban határozandók meg)  </w:t>
            </w:r>
          </w:p>
          <w:p w14:paraId="0E710D20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22114D9B" w14:textId="77777777" w:rsidR="00A4283F" w:rsidRDefault="00191B2A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Kurzusunk fő célja a 2020 tavaszi szemeszterben, olyan figyelemfelkeltő, kreatív ötlettervek létrehozása, amiken keresztül az Európa Kulturális Főváros Veszprém 2023 látogatóit izgalmas, meglepő, pozitív helyzetekbe hozzuk Veszprémen kívül </w:t>
            </w:r>
            <w:r>
              <w:rPr>
                <w:rFonts w:ascii="Times New Roman" w:eastAsia="Times New Roman" w:hAnsi="Times New Roman" w:cs="Times New Roman"/>
                <w:b/>
              </w:rPr>
              <w:t>a Balaton-felvidék és az EKF 2023 régiós területén.</w:t>
            </w:r>
          </w:p>
          <w:p w14:paraId="0CDB0A01" w14:textId="77777777" w:rsidR="00A4283F" w:rsidRDefault="00191B2A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Olyan ötletgazdag, friss víziókat keresünk, 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print, videó projekció, tereptárgy, városi intervenció, performance, rendezvény stb. formájában, 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amik emblematikus, egyedi módon erősítik az EKF látogatóiban a rendezvény sokszínűségének élményét, vagy (és) akár kézzelfoghatóan hasznos módon is segítik a rendezvény sikerét mint pl. eredeti mobil applikációk, vagy egyéb utcai kommunikációk formájában.</w:t>
            </w:r>
          </w:p>
          <w:p w14:paraId="4A1B81E8" w14:textId="77777777" w:rsidR="00A4283F" w:rsidRDefault="00191B2A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szemeszter végére olyan, jól azonosítható látvánnyal rendelkező ötlettervek létrehozása és prezentálása a cél a fenti témában, amik egy szóbeli prezentáció vizuális anyagaként, és önálló, ötlet dokumentációként egyaránt használhatók.</w:t>
            </w:r>
          </w:p>
          <w:p w14:paraId="1C538E4E" w14:textId="77777777" w:rsidR="00A4283F" w:rsidRDefault="00191B2A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Továbbá olyan figyelemfelkeltő projektterveket is szeretnénk készíteni, amivel a régióban élők releváns módon érezhetik magukat megszólítva és az EKF2023 részének illetve bekerülhetnek annak vérkeringésébe. Ebben a megközelítésben célunk a Balaton-felvidéki kis településeire is, integráló ötlettervek kidolgozása.</w:t>
            </w:r>
          </w:p>
          <w:p w14:paraId="4C8704D3" w14:textId="77777777" w:rsidR="00A4283F" w:rsidRDefault="00191B2A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projektekhez kapcsolódóan balaton-felvidéki tanulmányi utazást,- lehetőség szerint utazásokat - tervezünk az tavasz folyamán.</w:t>
            </w:r>
          </w:p>
          <w:p w14:paraId="72D0FF38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785D5484" w14:textId="77777777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000000"/>
            </w:tcBorders>
          </w:tcPr>
          <w:p w14:paraId="533CAA78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Tanulási eredmények (fejlesztendő szakmai és általános kompetenciák):</w:t>
            </w:r>
          </w:p>
          <w:p w14:paraId="59649CC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 tantárgyi leírás alapján, azzal összhangban határozandók meg)</w:t>
            </w:r>
          </w:p>
          <w:p w14:paraId="03DE65D1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05F4C444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Kreatív kutatási  fejlesztési gyakorlat  kiemelkedő  európai  projekt számára.</w:t>
            </w:r>
          </w:p>
          <w:p w14:paraId="1A1A272B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Kreatív gondolatok kezelése, ötletté válása,  realizálás  folyamatának  gyakorlása, csoportmunka, kutatás, módszertani tervek kidolgozása. Projekt-alapú csoportmunka, prezentáció.</w:t>
            </w:r>
          </w:p>
        </w:tc>
      </w:tr>
      <w:tr w:rsidR="00A4283F" w14:paraId="73800EC7" w14:textId="77777777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000000"/>
            </w:tcBorders>
          </w:tcPr>
          <w:p w14:paraId="2F80392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 kurzus keretében feldolgozandó témakörök, témák: </w:t>
            </w:r>
          </w:p>
          <w:p w14:paraId="651C4D20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09C7AFED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EKF programirodával  egyeztetve  az alábbi kurzuspontokkal tervezünk dolgozni a szemeszter során, ami az EKF igénye alapján részben módosulhat bővülhet a kurzus  során:</w:t>
            </w:r>
          </w:p>
          <w:p w14:paraId="4CB4CEC5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6D33D5" w14:textId="77777777" w:rsidR="00A4283F" w:rsidRDefault="00191B2A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Balaton-felvidék Kulturális térképének létrehozásához módszertani tervek kidolgozása. </w:t>
            </w:r>
          </w:p>
          <w:p w14:paraId="2B6A4B2C" w14:textId="77777777" w:rsidR="00A4283F" w:rsidRDefault="00191B2A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Kézzelfogható kreatív munkaprogramok kidolgozása melyek szervesen illeszkednek az EKF eseménysorozat  programjaiba, mint pl. a “SZEXI RÉGIÓ ESZKÖZTÁRA”, amelyben az EKF egy már meglévő programjára hangolódva arra keresünk választ, hogy  “..hogyan lehet megőrizni és intelligens módon fejleszteni a minket körülvevő egyedi kultúrtájat.” </w:t>
            </w:r>
          </w:p>
          <w:p w14:paraId="27D293D4" w14:textId="77777777" w:rsidR="00A4283F" w:rsidRDefault="00A428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20" w:firstLine="0"/>
              <w:rPr>
                <w:rFonts w:ascii="Times New Roman" w:eastAsia="Times New Roman" w:hAnsi="Times New Roman" w:cs="Times New Roman"/>
              </w:rPr>
            </w:pPr>
          </w:p>
          <w:p w14:paraId="547DF25F" w14:textId="77777777" w:rsidR="00A4283F" w:rsidRDefault="00191B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Céljaink között szerepel többek között továbbá olyan projekttervek kidolgozása, majd hosszútávon realizálása, amelyek kézzelfoghatóan alkalmazhatók lesznek az EKF esemény során. (a teljesség igénye nélkül):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EC815DA" w14:textId="77777777" w:rsidR="00A4283F" w:rsidRDefault="00191B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 - helyiek számára értékelhető eseménysorozatok létrehozása</w:t>
            </w:r>
          </w:p>
          <w:p w14:paraId="5CFB4940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 régió kevésbé ismert látnivalóinak köztudatba emelését segítő applikáció fejlesztés, </w:t>
            </w:r>
          </w:p>
          <w:p w14:paraId="2F35FC3C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 tősgyökeres Balaton-felvidékiek és a EKF látogatói közötti kapcsolat erősítését szolgáló események kidolgozása.  </w:t>
            </w:r>
          </w:p>
          <w:p w14:paraId="451A576C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falu és városlakók kölcsönös megismerését elősegítendő humoros társasjátékok fejlesztése. </w:t>
            </w:r>
          </w:p>
          <w:p w14:paraId="1E98AAF8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kutatások a régióban élő idős emberekre fókuszálva</w:t>
            </w:r>
          </w:p>
          <w:p w14:paraId="61E3B2AD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helyi igények megismerésén alapuló valós problémamegoldások kidolgozása</w:t>
            </w:r>
          </w:p>
          <w:p w14:paraId="774A74BB" w14:textId="77777777" w:rsidR="00A4283F" w:rsidRDefault="00191B2A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ismeretterjesztő helyszíni beszámolók készítése, pl. helyieket saját környezetükben bemutató fotó- és videó- sorozatok létrehozása</w:t>
            </w:r>
          </w:p>
          <w:p w14:paraId="7E6D1A9F" w14:textId="77777777" w:rsidR="00A4283F" w:rsidRDefault="00A4283F">
            <w:pPr>
              <w:tabs>
                <w:tab w:val="left" w:pos="20"/>
                <w:tab w:val="left" w:pos="139"/>
                <w:tab w:val="left" w:pos="1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</w:p>
          <w:p w14:paraId="3AA34D28" w14:textId="77777777" w:rsidR="00A4283F" w:rsidRDefault="00191B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 programunk fontos célja, hogy az egyetem hallgatói integrált módon, a különféle szakterületek tudását együttesen kiaknázva, projekt-alapon tudjanak válaszokat találni az igényekre, és olyan releváns ötleteket, projekteket, programokat hozzunk létre, amelyek érvényessége túllép a magyar határokon, és mind a résztvevők nemzetiségét, mind az eredményeket tekintve európai perspektívákban értelmezhetők.</w:t>
            </w:r>
          </w:p>
          <w:p w14:paraId="25D3DA10" w14:textId="77777777" w:rsidR="00A4283F" w:rsidRDefault="00A428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0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  <w:p w14:paraId="4B616C2E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22958D81" w14:textId="77777777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000000"/>
            </w:tcBorders>
          </w:tcPr>
          <w:p w14:paraId="12C3E1FB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A kurzus során alkalmazott KFI módszerek, eszközök: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C10D0E" w14:textId="77777777" w:rsidR="00A4283F" w:rsidRDefault="00191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kutatószeminárium meghatározó része az önállóan végzett kutató- és ötletfejlesztési munka, melyet a konzultációs alkalmak támogatnak és koordinálnak. A kutatómunka kezdetén a hallgató és az oktató közösen határozzák meg a kutatás irányát és mérföldköveit, mely alapján a hallgató a szemeszter során felépíti a projekt során elkészülő ötletterveit. </w:t>
            </w:r>
          </w:p>
          <w:p w14:paraId="2C1EDF1A" w14:textId="77777777" w:rsidR="00A4283F" w:rsidRDefault="00191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hetente tartott megbeszélések alkalmával a hallgatók beszámolnak az elmúlt időszak eredményeiről, és szakmai visszajelzést, és segítséget kapnak a kutatás témáját és módszertanát illetően. </w:t>
            </w:r>
          </w:p>
          <w:p w14:paraId="3761BC97" w14:textId="77777777" w:rsidR="00A4283F" w:rsidRDefault="00A4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39" w:hanging="140"/>
              <w:rPr>
                <w:rFonts w:ascii="Times New Roman" w:eastAsia="Times New Roman" w:hAnsi="Times New Roman" w:cs="Times New Roman"/>
              </w:rPr>
            </w:pPr>
          </w:p>
          <w:p w14:paraId="3B8CC605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4BB8F627" w14:textId="77777777">
        <w:trPr>
          <w:trHeight w:val="675"/>
        </w:trPr>
        <w:tc>
          <w:tcPr>
            <w:tcW w:w="9270" w:type="dxa"/>
            <w:gridSpan w:val="5"/>
          </w:tcPr>
          <w:p w14:paraId="5E623F9D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Tanulásszervezés/folyamatszervezés sajátosságai: </w:t>
            </w:r>
          </w:p>
          <w:p w14:paraId="7A2F5B40" w14:textId="77777777" w:rsidR="00A4283F" w:rsidRDefault="00191B2A">
            <w:pPr>
              <w:spacing w:before="120" w:after="60"/>
              <w:ind w:left="134" w:hanging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 kurzus menete, az egyes foglalkozások jellege és ütemezésük (több tanár esetén akár a tanári közreműködés megosztását is jelezve:</w:t>
            </w:r>
          </w:p>
          <w:p w14:paraId="05CC91B3" w14:textId="77777777" w:rsidR="00A4283F" w:rsidRDefault="00A4283F">
            <w:pPr>
              <w:spacing w:before="120" w:after="60"/>
              <w:ind w:left="134" w:hanging="134"/>
              <w:rPr>
                <w:rFonts w:ascii="Times New Roman" w:eastAsia="Times New Roman" w:hAnsi="Times New Roman" w:cs="Times New Roman"/>
              </w:rPr>
            </w:pPr>
          </w:p>
          <w:p w14:paraId="13FE45CA" w14:textId="77777777" w:rsidR="00A4283F" w:rsidRDefault="00191B2A">
            <w:pPr>
              <w:spacing w:after="6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első négy héten házon belüli ötletfejlesztés zajlik, majd ezt követően egy három napos terepszemle keretében a hallgatók a helyszínen is tanulmányozzák az előkészített ötleteik megvalósulási lehetőségeit, valamint az EKF 2023 program szervezőivel, szakmai tanácsadóival is konzultálnak az ötlettervek helyspecifikus kivitelezését illetően.</w:t>
            </w:r>
          </w:p>
          <w:p w14:paraId="1CC80DFB" w14:textId="77777777" w:rsidR="00A4283F" w:rsidRDefault="00A4283F">
            <w:pPr>
              <w:spacing w:after="60"/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41CD277B" w14:textId="77777777" w:rsidR="00A4283F" w:rsidRDefault="00A4283F">
            <w:pPr>
              <w:spacing w:after="60"/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76707697" w14:textId="77777777" w:rsidR="00A4283F" w:rsidRDefault="00191B2A">
            <w:pPr>
              <w:spacing w:after="6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hallgatók tennivalói, feladatai:</w:t>
            </w:r>
          </w:p>
          <w:p w14:paraId="5382880C" w14:textId="77777777" w:rsidR="00A4283F" w:rsidRDefault="00191B2A">
            <w:pPr>
              <w:spacing w:after="6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kurzus keretében feldolgozandó témakörök, témák kidolgozása, projekt-alapú, csoportos és egyéni munkafolyamatokban való részvétel.</w:t>
            </w:r>
          </w:p>
          <w:p w14:paraId="51AA24AD" w14:textId="77777777" w:rsidR="00A4283F" w:rsidRDefault="00191B2A">
            <w:pPr>
              <w:spacing w:after="60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Kutatás, kidolgozás, prezentálás, aktív együttműködés csoporttagokkal, megbízóval és az oktatóval. </w:t>
            </w:r>
          </w:p>
          <w:p w14:paraId="074DE568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5266711D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tanulás környezete: </w:t>
            </w:r>
          </w:p>
          <w:p w14:paraId="3F0E576D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Tanterem, stúdió, műterem, külső helyszín, online</w:t>
            </w:r>
          </w:p>
          <w:p w14:paraId="243CCE09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5222FD10" w14:textId="77777777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000000"/>
            </w:tcBorders>
          </w:tcPr>
          <w:p w14:paraId="11C80991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Értékelés:</w:t>
            </w:r>
          </w:p>
          <w:p w14:paraId="4223B985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(Több tanár és tanáronként külön értékelés esetén tanáronként megbontva)</w:t>
            </w:r>
          </w:p>
          <w:p w14:paraId="6F9105D8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</w:p>
          <w:p w14:paraId="299A2A34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Teljesítendő követelmények: </w:t>
            </w:r>
          </w:p>
          <w:p w14:paraId="1A51D4C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Szemináriumi jelenlét minden héten, órai aktivitás és együttműködés a csoporttársakkal a konzultációs alkalmak során. A tematikában kiírt figyelemfelkeltő, kreatív ötlettervek és az azokhoz tartozó dokumentációk és prezentációk létrehozása, ötletfejlesztési mérföldkövek bemutatása az oktató által meghatározott időközönként.</w:t>
            </w:r>
          </w:p>
          <w:p w14:paraId="505B84A5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61FC7EF0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2E9EA497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Értékelés módja: </w:t>
            </w:r>
          </w:p>
          <w:p w14:paraId="171D01CF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Létrehozott tervek és prezentációk kreatív tartalma és a kivitelezésének minősége alapján, szóbeli prezentáció és beadott prezentációs munka, valamint az órai aktivitás alapján.</w:t>
            </w:r>
          </w:p>
          <w:p w14:paraId="4EDB2A94" w14:textId="77777777" w:rsidR="00A4283F" w:rsidRDefault="00A4283F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</w:p>
          <w:p w14:paraId="48FD5B70" w14:textId="77777777" w:rsidR="00A4283F" w:rsidRDefault="00A4283F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</w:p>
          <w:p w14:paraId="3AA9B234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Az értékelés szempontjai </w:t>
            </w:r>
          </w:p>
          <w:p w14:paraId="1B26388E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Az értékelés szempontjait az elkészült ötlettervekben megjelenő kreativitás mértéke valamint a tervkidolgozás, kivitelezés és a prezentáció minősége jelentik.</w:t>
            </w:r>
          </w:p>
          <w:p w14:paraId="245453E3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283F" w14:paraId="6CC06681" w14:textId="77777777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000000"/>
            </w:tcBorders>
          </w:tcPr>
          <w:p w14:paraId="2353213C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472ECD25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6980CFD1" w14:textId="77777777" w:rsidR="00A4283F" w:rsidRDefault="00191B2A">
            <w:pPr>
              <w:ind w:left="27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 Az érdemjegy a kurzus végén elkészülő ötletterv, mint produktumot bemutató záróprezentáció alapján kerül kiszámításra. A záróprezentáció után az oktató az alábbi szempontok egyenlő arányú (5 x 20%) számítása alapján osztályozza a hallgatót,  az abban rejlő </w:t>
            </w:r>
            <w:r>
              <w:rPr>
                <w:rFonts w:ascii="Times New Roman" w:eastAsia="Times New Roman" w:hAnsi="Times New Roman" w:cs="Times New Roman"/>
                <w:i/>
              </w:rPr>
              <w:t>kreativitás, ötlet, kivitelezés, együttműködés és a prezentáció</w:t>
            </w:r>
            <w:r>
              <w:rPr>
                <w:rFonts w:ascii="Times New Roman" w:eastAsia="Times New Roman" w:hAnsi="Times New Roman" w:cs="Times New Roman"/>
              </w:rPr>
              <w:t xml:space="preserve"> minősége alapján.</w:t>
            </w:r>
          </w:p>
          <w:p w14:paraId="0DB17ACB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71C23F9B" w14:textId="77777777">
        <w:trPr>
          <w:trHeight w:val="1351"/>
        </w:trPr>
        <w:tc>
          <w:tcPr>
            <w:tcW w:w="9270" w:type="dxa"/>
            <w:gridSpan w:val="5"/>
          </w:tcPr>
          <w:p w14:paraId="2C295BE0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Kötelező irodalom: </w:t>
            </w:r>
          </w:p>
          <w:p w14:paraId="49B66156" w14:textId="0A8C038E" w:rsidR="00A4283F" w:rsidRDefault="00E1048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4C10C96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2D0CC95C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Ajánlott irodalom:</w:t>
            </w:r>
          </w:p>
          <w:p w14:paraId="578B92C3" w14:textId="1B46EA02" w:rsidR="00A4283F" w:rsidRDefault="00E10487">
            <w:pPr>
              <w:spacing w:after="12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08A393B" w14:textId="77777777" w:rsidR="00A4283F" w:rsidRDefault="00A4283F">
            <w:pPr>
              <w:spacing w:after="120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4283F" w14:paraId="5CC60214" w14:textId="77777777">
        <w:trPr>
          <w:trHeight w:val="1351"/>
        </w:trPr>
        <w:tc>
          <w:tcPr>
            <w:tcW w:w="9270" w:type="dxa"/>
            <w:gridSpan w:val="5"/>
          </w:tcPr>
          <w:p w14:paraId="440F1FD5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Egyéb információk:</w:t>
            </w:r>
          </w:p>
          <w:p w14:paraId="13451868" w14:textId="79144FD0" w:rsidR="00A4283F" w:rsidRDefault="00E10487">
            <w:pPr>
              <w:shd w:val="clear" w:color="auto" w:fill="FFFFFF"/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C4043"/>
              </w:rPr>
              <w:t>-</w:t>
            </w:r>
          </w:p>
        </w:tc>
      </w:tr>
      <w:tr w:rsidR="00A4283F" w14:paraId="255D0964" w14:textId="77777777">
        <w:trPr>
          <w:trHeight w:val="2539"/>
        </w:trPr>
        <w:tc>
          <w:tcPr>
            <w:tcW w:w="9270" w:type="dxa"/>
            <w:gridSpan w:val="5"/>
            <w:tcBorders>
              <w:top w:val="single" w:sz="4" w:space="0" w:color="000000"/>
            </w:tcBorders>
          </w:tcPr>
          <w:p w14:paraId="334AB13A" w14:textId="77777777" w:rsidR="00A4283F" w:rsidRDefault="00191B2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Máshol/korábban szerzett tudás elismerése/ validációs elv:</w:t>
            </w:r>
          </w:p>
          <w:p w14:paraId="537DD07E" w14:textId="77777777" w:rsidR="00A4283F" w:rsidRDefault="00A4283F">
            <w:pPr>
              <w:ind w:left="348" w:firstLine="0"/>
              <w:rPr>
                <w:rFonts w:ascii="Times New Roman" w:eastAsia="Times New Roman" w:hAnsi="Times New Roman" w:cs="Times New Roman"/>
              </w:rPr>
            </w:pPr>
          </w:p>
          <w:p w14:paraId="1CB4441F" w14:textId="77777777" w:rsidR="00A4283F" w:rsidRDefault="00191B2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teljeskörű beszámítás/elismerés lehetséges</w:t>
            </w:r>
          </w:p>
          <w:p w14:paraId="4AA624A4" w14:textId="77777777" w:rsidR="00A4283F" w:rsidRDefault="00191B2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részleges beszámítás/elismerés lehetséges</w:t>
            </w:r>
          </w:p>
          <w:p w14:paraId="62D87713" w14:textId="77777777" w:rsidR="00A4283F" w:rsidRDefault="00191B2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nincs lehetőség elismerésre/beszámításra</w:t>
            </w:r>
          </w:p>
        </w:tc>
      </w:tr>
      <w:tr w:rsidR="00A4283F" w14:paraId="4753EB48" w14:textId="77777777">
        <w:trPr>
          <w:trHeight w:val="271"/>
        </w:trPr>
        <w:tc>
          <w:tcPr>
            <w:tcW w:w="9270" w:type="dxa"/>
            <w:gridSpan w:val="5"/>
          </w:tcPr>
          <w:p w14:paraId="7D3E13F8" w14:textId="77777777" w:rsidR="00A4283F" w:rsidRDefault="00191B2A">
            <w:pPr>
              <w:spacing w:before="6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Tanórán kívüli konzultációs időpontok és helyszín: Tanóra után a tanóra helyszínén, vagy a campus egyéb  területén az órákat követően lehetséges. </w:t>
            </w:r>
          </w:p>
          <w:p w14:paraId="51911EB5" w14:textId="77777777" w:rsidR="00A4283F" w:rsidRDefault="00A4283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7607B6" w14:textId="77777777" w:rsidR="00A4283F" w:rsidRDefault="00A4283F">
      <w:pPr>
        <w:ind w:firstLine="0"/>
        <w:rPr>
          <w:rFonts w:ascii="Times New Roman" w:eastAsia="Times New Roman" w:hAnsi="Times New Roman" w:cs="Times New Roman"/>
        </w:rPr>
      </w:pPr>
    </w:p>
    <w:p w14:paraId="4012DA29" w14:textId="77777777" w:rsidR="00A4283F" w:rsidRDefault="00A4283F">
      <w:pPr>
        <w:ind w:firstLine="0"/>
        <w:rPr>
          <w:rFonts w:ascii="Times New Roman" w:eastAsia="Times New Roman" w:hAnsi="Times New Roman" w:cs="Times New Roman"/>
        </w:rPr>
      </w:pPr>
    </w:p>
    <w:sectPr w:rsidR="00A4283F">
      <w:pgSz w:w="11900" w:h="16840"/>
      <w:pgMar w:top="851" w:right="985" w:bottom="993" w:left="147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EC9"/>
    <w:multiLevelType w:val="multilevel"/>
    <w:tmpl w:val="BAD8A6BC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6ECC"/>
    <w:multiLevelType w:val="multilevel"/>
    <w:tmpl w:val="A96C0E5C"/>
    <w:lvl w:ilvl="0">
      <w:start w:val="1"/>
      <w:numFmt w:val="bullet"/>
      <w:pStyle w:val="Cmsor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Cmsor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Cmsor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Cmsor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Cmsor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Cmsor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Cmsor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Cmsor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Cmsor9"/>
      <w:lvlText w:val="-"/>
      <w:lvlJc w:val="left"/>
      <w:pPr>
        <w:ind w:left="6480" w:hanging="360"/>
      </w:pPr>
      <w:rPr>
        <w:u w:val="none"/>
      </w:rPr>
    </w:lvl>
  </w:abstractNum>
  <w:num w:numId="1" w16cid:durableId="1247493337">
    <w:abstractNumId w:val="1"/>
  </w:num>
  <w:num w:numId="2" w16cid:durableId="42850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3F"/>
    <w:rsid w:val="00191B2A"/>
    <w:rsid w:val="006912A1"/>
    <w:rsid w:val="00A4283F"/>
    <w:rsid w:val="00CB0922"/>
    <w:rsid w:val="00E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F3A"/>
  <w15:docId w15:val="{1B451C1B-AD58-4E3A-BDBD-D92C7ACB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F32"/>
    <w:rPr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UCrJu7dWMosRRmhYur0rO2D9Q==">AMUW2mVuuDvOovGuZhHvRY0hHBmFSsaChRb+ScuGkIUINC3YnlDbv9UQfEH6NqKUirMrjWAasrpPBKHs0S41LHd8/3mJQCl4AoxSq4Kmz8U+Y4JXn33qwYcMVLRDKGXpKrr96DVkGPJD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956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 Csereklye</dc:creator>
  <cp:lastModifiedBy>Danyi Anna</cp:lastModifiedBy>
  <cp:revision>4</cp:revision>
  <dcterms:created xsi:type="dcterms:W3CDTF">2019-05-09T13:03:00Z</dcterms:created>
  <dcterms:modified xsi:type="dcterms:W3CDTF">2023-02-22T09:58:00Z</dcterms:modified>
</cp:coreProperties>
</file>