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BE6" w:rsidRDefault="00B35892">
      <w:pPr>
        <w:ind w:firstLine="0"/>
        <w:jc w:val="left"/>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 xml:space="preserve"> Kurzusleírás (tematika)</w:t>
      </w:r>
    </w:p>
    <w:tbl>
      <w:tblPr>
        <w:tblStyle w:val="a0"/>
        <w:tblW w:w="9270" w:type="dxa"/>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72"/>
        <w:gridCol w:w="1911"/>
        <w:gridCol w:w="1560"/>
        <w:gridCol w:w="1559"/>
        <w:gridCol w:w="2268"/>
      </w:tblGrid>
      <w:tr w:rsidR="00F25BE6">
        <w:trPr>
          <w:trHeight w:val="567"/>
        </w:trPr>
        <w:tc>
          <w:tcPr>
            <w:tcW w:w="9270" w:type="dxa"/>
            <w:gridSpan w:val="5"/>
          </w:tcPr>
          <w:p w:rsidR="00F25BE6" w:rsidRDefault="00B35892">
            <w:r>
              <w:t>Kurzus neve: Future Forecasting &amp; Complexity (Tervezési folyamatokhoz kapcsolódó jövőelőrejelzési gyakorlatok) (online is tartható)</w:t>
            </w:r>
          </w:p>
        </w:tc>
      </w:tr>
      <w:tr w:rsidR="00F25BE6">
        <w:trPr>
          <w:trHeight w:val="567"/>
        </w:trPr>
        <w:tc>
          <w:tcPr>
            <w:tcW w:w="9270" w:type="dxa"/>
            <w:gridSpan w:val="5"/>
          </w:tcPr>
          <w:p w:rsidR="00F25BE6" w:rsidRDefault="00B35892">
            <w:pPr>
              <w:pStyle w:val="Cmsor3"/>
              <w:numPr>
                <w:ilvl w:val="2"/>
                <w:numId w:val="3"/>
              </w:numPr>
              <w:spacing w:before="60"/>
              <w:rPr>
                <w:b w:val="0"/>
              </w:rPr>
            </w:pPr>
            <w:r>
              <w:rPr>
                <w:b w:val="0"/>
              </w:rPr>
              <w:t>A kurzus oktatója/i, elérhetősége(i): Bakk Ágnes Karolina (bakk@mome.hu)</w:t>
            </w:r>
          </w:p>
        </w:tc>
      </w:tr>
      <w:tr w:rsidR="00F25BE6">
        <w:trPr>
          <w:trHeight w:val="705"/>
        </w:trPr>
        <w:tc>
          <w:tcPr>
            <w:tcW w:w="1972" w:type="dxa"/>
          </w:tcPr>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Kód:</w:t>
            </w:r>
          </w:p>
          <w:p w:rsidR="00F25BE6" w:rsidRDefault="00F25BE6">
            <w:pPr>
              <w:ind w:firstLine="0"/>
              <w:rPr>
                <w:rFonts w:ascii="Times New Roman" w:eastAsia="Times New Roman" w:hAnsi="Times New Roman" w:cs="Times New Roman"/>
              </w:rPr>
            </w:pPr>
          </w:p>
        </w:tc>
        <w:tc>
          <w:tcPr>
            <w:tcW w:w="1911" w:type="dxa"/>
          </w:tcPr>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Tantervi hely:</w:t>
            </w:r>
          </w:p>
          <w:p w:rsidR="00F25BE6" w:rsidRDefault="00B35892">
            <w:pPr>
              <w:rPr>
                <w:rFonts w:ascii="Times New Roman" w:eastAsia="Times New Roman" w:hAnsi="Times New Roman" w:cs="Times New Roman"/>
                <w:highlight w:val="yellow"/>
              </w:rPr>
            </w:pPr>
            <w:r>
              <w:rPr>
                <w:rFonts w:ascii="Times New Roman" w:eastAsia="Times New Roman" w:hAnsi="Times New Roman" w:cs="Times New Roman"/>
                <w:highlight w:val="yellow"/>
              </w:rPr>
              <w:t>BA 3 vagy MA 1</w:t>
            </w:r>
          </w:p>
        </w:tc>
        <w:tc>
          <w:tcPr>
            <w:tcW w:w="1560" w:type="dxa"/>
          </w:tcPr>
          <w:p w:rsidR="00F25BE6" w:rsidRDefault="00B35892">
            <w:pPr>
              <w:ind w:firstLine="0"/>
              <w:rPr>
                <w:rFonts w:ascii="Times New Roman" w:eastAsia="Times New Roman" w:hAnsi="Times New Roman" w:cs="Times New Roman"/>
                <w:highlight w:val="yellow"/>
              </w:rPr>
            </w:pPr>
            <w:r>
              <w:rPr>
                <w:rFonts w:ascii="Times New Roman" w:eastAsia="Times New Roman" w:hAnsi="Times New Roman" w:cs="Times New Roman"/>
              </w:rPr>
              <w:t>Javasolt félév:</w:t>
            </w:r>
          </w:p>
        </w:tc>
        <w:tc>
          <w:tcPr>
            <w:tcW w:w="1559" w:type="dxa"/>
          </w:tcPr>
          <w:p w:rsidR="00F25BE6" w:rsidRDefault="00B35892">
            <w:pPr>
              <w:ind w:firstLine="0"/>
              <w:rPr>
                <w:rFonts w:ascii="Times New Roman" w:eastAsia="Times New Roman" w:hAnsi="Times New Roman" w:cs="Times New Roman"/>
              </w:rPr>
            </w:pPr>
            <w:r>
              <w:rPr>
                <w:rFonts w:ascii="Times New Roman" w:eastAsia="Times New Roman" w:hAnsi="Times New Roman" w:cs="Times New Roman"/>
                <w:highlight w:val="yellow"/>
              </w:rPr>
              <w:t>Kredit: 5</w:t>
            </w:r>
          </w:p>
          <w:p w:rsidR="00F25BE6" w:rsidRDefault="00F25BE6">
            <w:pPr>
              <w:ind w:firstLine="0"/>
              <w:rPr>
                <w:rFonts w:ascii="Times New Roman" w:eastAsia="Times New Roman" w:hAnsi="Times New Roman" w:cs="Times New Roman"/>
              </w:rPr>
            </w:pPr>
          </w:p>
        </w:tc>
        <w:tc>
          <w:tcPr>
            <w:tcW w:w="2268" w:type="dxa"/>
          </w:tcPr>
          <w:p w:rsidR="00F25BE6" w:rsidRDefault="00B35892">
            <w:pPr>
              <w:ind w:firstLine="0"/>
              <w:rPr>
                <w:rFonts w:ascii="Times New Roman" w:eastAsia="Times New Roman" w:hAnsi="Times New Roman" w:cs="Times New Roman"/>
                <w:highlight w:val="yellow"/>
              </w:rPr>
            </w:pPr>
            <w:r>
              <w:rPr>
                <w:rFonts w:ascii="Times New Roman" w:eastAsia="Times New Roman" w:hAnsi="Times New Roman" w:cs="Times New Roman"/>
                <w:highlight w:val="yellow"/>
              </w:rPr>
              <w:t xml:space="preserve">Tanóraszám: </w:t>
            </w:r>
            <w:r w:rsidR="006B37C6">
              <w:rPr>
                <w:rFonts w:ascii="Times New Roman" w:eastAsia="Times New Roman" w:hAnsi="Times New Roman" w:cs="Times New Roman"/>
                <w:highlight w:val="yellow"/>
              </w:rPr>
              <w:t>24</w:t>
            </w:r>
          </w:p>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 xml:space="preserve">Egyéni hallgatói munkaóra: </w:t>
            </w:r>
            <w:r w:rsidR="006B37C6">
              <w:rPr>
                <w:rFonts w:ascii="Times New Roman" w:eastAsia="Times New Roman" w:hAnsi="Times New Roman" w:cs="Times New Roman"/>
              </w:rPr>
              <w:t>60</w:t>
            </w:r>
          </w:p>
        </w:tc>
      </w:tr>
      <w:tr w:rsidR="00F25BE6">
        <w:trPr>
          <w:trHeight w:val="705"/>
        </w:trPr>
        <w:tc>
          <w:tcPr>
            <w:tcW w:w="1972" w:type="dxa"/>
          </w:tcPr>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Kapcsolt kódok:</w:t>
            </w:r>
          </w:p>
        </w:tc>
        <w:tc>
          <w:tcPr>
            <w:tcW w:w="1911" w:type="dxa"/>
          </w:tcPr>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Típus: (szeminárium/előadás/gyakorlat/konzultáció stb.)</w:t>
            </w:r>
          </w:p>
        </w:tc>
        <w:tc>
          <w:tcPr>
            <w:tcW w:w="1560" w:type="dxa"/>
          </w:tcPr>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Szab.vál-ként felvehető-e?</w:t>
            </w:r>
          </w:p>
        </w:tc>
        <w:tc>
          <w:tcPr>
            <w:tcW w:w="3827" w:type="dxa"/>
            <w:gridSpan w:val="2"/>
          </w:tcPr>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Szab.vál. esetén sajátos előfeltételek:</w:t>
            </w:r>
          </w:p>
          <w:p w:rsidR="00F25BE6" w:rsidRDefault="00F25BE6">
            <w:pPr>
              <w:tabs>
                <w:tab w:val="left" w:pos="448"/>
                <w:tab w:val="left" w:pos="2173"/>
              </w:tabs>
              <w:ind w:firstLine="0"/>
              <w:jc w:val="left"/>
              <w:rPr>
                <w:rFonts w:ascii="Times New Roman" w:eastAsia="Times New Roman" w:hAnsi="Times New Roman" w:cs="Times New Roman"/>
              </w:rPr>
            </w:pPr>
          </w:p>
        </w:tc>
      </w:tr>
      <w:tr w:rsidR="00F25BE6">
        <w:trPr>
          <w:trHeight w:val="705"/>
        </w:trPr>
        <w:tc>
          <w:tcPr>
            <w:tcW w:w="9270" w:type="dxa"/>
            <w:gridSpan w:val="5"/>
          </w:tcPr>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 xml:space="preserve">A kurzus kapcsolatai (előfeltételek, párhuzamosságok): </w:t>
            </w:r>
          </w:p>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BA 3 vagy MA 1 hallgatóknak, max 12 fő</w:t>
            </w:r>
          </w:p>
        </w:tc>
      </w:tr>
      <w:tr w:rsidR="00F25BE6">
        <w:trPr>
          <w:trHeight w:val="903"/>
        </w:trPr>
        <w:tc>
          <w:tcPr>
            <w:tcW w:w="9270" w:type="dxa"/>
            <w:gridSpan w:val="5"/>
          </w:tcPr>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 xml:space="preserve">A kurzus célja és alapelvei: </w:t>
            </w:r>
          </w:p>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 xml:space="preserve">(a tantárgyi leírás alapján, azzal összhangban határozandók meg)  </w:t>
            </w:r>
          </w:p>
          <w:p w:rsidR="00F25BE6" w:rsidRDefault="00F25BE6"/>
          <w:p w:rsidR="00F25BE6" w:rsidRDefault="00B35892">
            <w:pPr>
              <w:ind w:firstLine="0"/>
            </w:pPr>
            <w:r>
              <w:t>2020 tavasza rávilágított, hogy a gyors változások komplex adaptálódási stratégiákat kívánnak meg. Ezek a komplex stratégiák a helyzet komplexitásának kell megfeleljenek (különösképpen a klímaváltozásra). Ezeket Timothy Morton fogalomalkotás alapján ‘hiperobjektumként’ kezeljük, és azt járjuk körbe, hogy komplex fenomének milyen sokrétű hatóerővel bírnak. Ennek megfelelően érdemes újra áttekinteni, hogy milyen lehetséges változók vannak az életünkbe, amelyekre ráhatással lehetünk és amelyre érdemes felkészülni szakmai szempontból. A kurzus keretében olyan “jövőbenéző” technikákat járunk körbe és olyan előremutató tendenciákat mérünk fel, amelyek abban segítik a résztvevőket, hogy a designfolyamatok során tudatosabban és előrelátóbban tervezhessenek, amelyek komplex helyzetekre tudnak válaszlehetőségeket adni.</w:t>
            </w:r>
            <w:r w:rsidR="00871832">
              <w:t xml:space="preserve"> A kurzus keretében</w:t>
            </w:r>
            <w:r>
              <w:t xml:space="preserve"> </w:t>
            </w:r>
            <w:r w:rsidR="00871832">
              <w:t>o</w:t>
            </w:r>
            <w:r>
              <w:t>lyan előrejelzési technikákat és kutatási lehetőségeket térképezünk fel, amelyek rámutatnak arra, hogy miképpen lehet jelekből olvasni, miképpen érdemes különböző trendeket érteni és értelmezni, ahhoz, hogy tervezői tevékenységük hatékonyabb legyen. Az itt gyakorolt technikák</w:t>
            </w:r>
            <w:r w:rsidR="00871832">
              <w:t xml:space="preserve"> bármilyen médiumban alkalmazhatóak, de segítik az alkotót abban, hogy szándékát jobban és kifejezőbben mutathassa meg ugyanakkor a környezetünk és világunk iránti felelősségvállalást is növelni igyekszünk.</w:t>
            </w:r>
            <w:r>
              <w:t xml:space="preserve"> A kurzus a spekulatív design, a strategic foresight, a design fiction metódusaira épít; a résztvevők egyéni kutatómunka során készítenek egy-egy kiválasztott területhez jövőelőrejelzési tervet, amelyet később saját tervezési munkáikhoz tudnak felhasználni. A kurzus - többek között - az Institute for the Future módszertanára is épít.</w:t>
            </w:r>
          </w:p>
          <w:p w:rsidR="00F25BE6" w:rsidRDefault="00F25BE6">
            <w:pPr>
              <w:ind w:firstLine="0"/>
              <w:rPr>
                <w:rFonts w:ascii="Times New Roman" w:eastAsia="Times New Roman" w:hAnsi="Times New Roman" w:cs="Times New Roman"/>
              </w:rPr>
            </w:pPr>
          </w:p>
        </w:tc>
      </w:tr>
      <w:tr w:rsidR="00F25BE6">
        <w:trPr>
          <w:trHeight w:val="1970"/>
        </w:trPr>
        <w:tc>
          <w:tcPr>
            <w:tcW w:w="9270" w:type="dxa"/>
            <w:gridSpan w:val="5"/>
            <w:tcBorders>
              <w:bottom w:val="single" w:sz="4" w:space="0" w:color="000000"/>
            </w:tcBorders>
          </w:tcPr>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Tanulási eredmények (fejlesztendő szakmai és általános kompetenciák):</w:t>
            </w:r>
          </w:p>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(a tantárgyi leírás alapján, azzal összhangban határozandók meg)</w:t>
            </w:r>
          </w:p>
          <w:p w:rsidR="00F25BE6" w:rsidRDefault="00F25BE6">
            <w:pPr>
              <w:pBdr>
                <w:top w:val="nil"/>
                <w:left w:val="nil"/>
                <w:bottom w:val="nil"/>
                <w:right w:val="nil"/>
                <w:between w:val="nil"/>
              </w:pBdr>
              <w:ind w:left="720" w:firstLine="0"/>
              <w:rPr>
                <w:rFonts w:ascii="Times New Roman" w:eastAsia="Times New Roman" w:hAnsi="Times New Roman" w:cs="Times New Roman"/>
                <w:color w:val="000000"/>
              </w:rPr>
            </w:pPr>
          </w:p>
          <w:p w:rsidR="00F25BE6" w:rsidRDefault="00B35892">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Megismer kortárs designtervezési elméleteket</w:t>
            </w:r>
          </w:p>
          <w:p w:rsidR="00F25BE6" w:rsidRDefault="00B35892">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Megtanulja felmérni és értékelni egy-egy képzelt jövőbeli környezet jellemzőit és a tervezési folyamatai során ezeket szem előtt tartja</w:t>
            </w:r>
          </w:p>
          <w:p w:rsidR="00F25BE6" w:rsidRDefault="00B35892">
            <w:pPr>
              <w:numPr>
                <w:ilvl w:val="0"/>
                <w:numId w:val="5"/>
              </w:numPr>
            </w:pPr>
            <w:r>
              <w:rPr>
                <w:rFonts w:ascii="Times New Roman" w:eastAsia="Times New Roman" w:hAnsi="Times New Roman" w:cs="Times New Roman"/>
              </w:rPr>
              <w:t>Olyan gondolkozási stratégiák kialakítására való képesség, amely az adott tervezési kihívásoknak validálását segíti</w:t>
            </w:r>
          </w:p>
          <w:p w:rsidR="00F25BE6" w:rsidRDefault="00F25BE6">
            <w:pPr>
              <w:numPr>
                <w:ilvl w:val="0"/>
                <w:numId w:val="5"/>
              </w:numPr>
              <w:rPr>
                <w:rFonts w:ascii="Times New Roman" w:eastAsia="Times New Roman" w:hAnsi="Times New Roman" w:cs="Times New Roman"/>
              </w:rPr>
            </w:pPr>
          </w:p>
          <w:p w:rsidR="00F25BE6" w:rsidRDefault="00F25BE6">
            <w:pPr>
              <w:ind w:left="720" w:firstLine="0"/>
              <w:rPr>
                <w:rFonts w:ascii="Times New Roman" w:eastAsia="Times New Roman" w:hAnsi="Times New Roman" w:cs="Times New Roman"/>
              </w:rPr>
            </w:pPr>
          </w:p>
        </w:tc>
      </w:tr>
      <w:tr w:rsidR="00F25BE6">
        <w:trPr>
          <w:trHeight w:val="806"/>
        </w:trPr>
        <w:tc>
          <w:tcPr>
            <w:tcW w:w="9270" w:type="dxa"/>
            <w:gridSpan w:val="5"/>
            <w:tcBorders>
              <w:top w:val="single" w:sz="4" w:space="0" w:color="000000"/>
            </w:tcBorders>
          </w:tcPr>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 xml:space="preserve">A kurzus keretében feldolgozandó témakörök, témák: </w:t>
            </w:r>
          </w:p>
          <w:p w:rsidR="00F25BE6" w:rsidRDefault="00B35892">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Future forecasting – 10 évre való előretervezés</w:t>
            </w:r>
          </w:p>
          <w:p w:rsidR="00F25BE6" w:rsidRDefault="00B35892">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Signs&amp;drives</w:t>
            </w:r>
          </w:p>
          <w:p w:rsidR="00F25BE6" w:rsidRDefault="00B35892">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Speculative design</w:t>
            </w:r>
          </w:p>
          <w:p w:rsidR="00F25BE6" w:rsidRDefault="00B35892">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Design fiction</w:t>
            </w:r>
          </w:p>
          <w:p w:rsidR="00F25BE6" w:rsidRDefault="00F25BE6">
            <w:pPr>
              <w:ind w:firstLine="0"/>
              <w:rPr>
                <w:rFonts w:ascii="Times New Roman" w:eastAsia="Times New Roman" w:hAnsi="Times New Roman" w:cs="Times New Roman"/>
              </w:rPr>
            </w:pPr>
          </w:p>
        </w:tc>
      </w:tr>
      <w:tr w:rsidR="00F25BE6">
        <w:trPr>
          <w:trHeight w:val="806"/>
        </w:trPr>
        <w:tc>
          <w:tcPr>
            <w:tcW w:w="9270" w:type="dxa"/>
            <w:gridSpan w:val="5"/>
            <w:tcBorders>
              <w:top w:val="single" w:sz="4" w:space="0" w:color="000000"/>
            </w:tcBorders>
          </w:tcPr>
          <w:p w:rsidR="00F25BE6" w:rsidRDefault="00B35892">
            <w:pPr>
              <w:ind w:firstLine="0"/>
              <w:rPr>
                <w:rFonts w:ascii="Times New Roman" w:eastAsia="Times New Roman" w:hAnsi="Times New Roman" w:cs="Times New Roman"/>
              </w:rPr>
            </w:pPr>
            <w:r>
              <w:rPr>
                <w:rFonts w:ascii="Times New Roman" w:eastAsia="Times New Roman" w:hAnsi="Times New Roman" w:cs="Times New Roman"/>
                <w:highlight w:val="green"/>
              </w:rPr>
              <w:lastRenderedPageBreak/>
              <w:t>A kurzus során alkalmazott KFI módszerek, eszközök:</w:t>
            </w:r>
            <w:r>
              <w:rPr>
                <w:rFonts w:ascii="Times New Roman" w:eastAsia="Times New Roman" w:hAnsi="Times New Roman" w:cs="Times New Roman"/>
              </w:rPr>
              <w:t xml:space="preserve"> </w:t>
            </w:r>
          </w:p>
          <w:p w:rsidR="00F25BE6" w:rsidRDefault="00B35892">
            <w:pPr>
              <w:numPr>
                <w:ilvl w:val="0"/>
                <w:numId w:val="5"/>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Jövőelőrejelzési stratégiák és mechanizmusok elsajátítása</w:t>
            </w:r>
          </w:p>
          <w:p w:rsidR="00F25BE6" w:rsidRDefault="00B35892">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Spekulatív tervezési folyamatok gyakorlása, amely által gyorsan változó helyzetekre is reagálni tudnak a tervezők</w:t>
            </w:r>
          </w:p>
          <w:p w:rsidR="00F25BE6" w:rsidRDefault="00B35892">
            <w:pPr>
              <w:numPr>
                <w:ilvl w:val="0"/>
                <w:numId w:val="5"/>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Kontextus- és narratív történetformák elemzése</w:t>
            </w:r>
          </w:p>
          <w:p w:rsidR="00F25BE6" w:rsidRDefault="00B35892">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Önálló szakmai specializálódási lehetőség (a tervek alapján)</w:t>
            </w:r>
          </w:p>
        </w:tc>
      </w:tr>
      <w:tr w:rsidR="00F25BE6">
        <w:trPr>
          <w:trHeight w:val="675"/>
        </w:trPr>
        <w:tc>
          <w:tcPr>
            <w:tcW w:w="9270" w:type="dxa"/>
            <w:gridSpan w:val="5"/>
          </w:tcPr>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 xml:space="preserve">Tanulásszervezés/folyamatszervezés sajátosságai: </w:t>
            </w:r>
          </w:p>
          <w:p w:rsidR="00F25BE6" w:rsidRDefault="00B35892">
            <w:pPr>
              <w:spacing w:before="120" w:after="60"/>
              <w:ind w:left="134" w:hanging="134"/>
              <w:rPr>
                <w:rFonts w:ascii="Times New Roman" w:eastAsia="Times New Roman" w:hAnsi="Times New Roman" w:cs="Times New Roman"/>
              </w:rPr>
            </w:pPr>
            <w:r>
              <w:rPr>
                <w:rFonts w:ascii="Times New Roman" w:eastAsia="Times New Roman" w:hAnsi="Times New Roman" w:cs="Times New Roman"/>
              </w:rPr>
              <w:t xml:space="preserve">   A kurzus menete, az egyes foglalkozások jellege és ütemezésük (több tanár esetén akár a tanári közreműködés megosztását is jelezve:</w:t>
            </w:r>
          </w:p>
          <w:p w:rsidR="00F25BE6" w:rsidRDefault="00B35892">
            <w:pPr>
              <w:numPr>
                <w:ilvl w:val="0"/>
                <w:numId w:val="5"/>
              </w:numPr>
              <w:pBdr>
                <w:top w:val="nil"/>
                <w:left w:val="nil"/>
                <w:bottom w:val="nil"/>
                <w:right w:val="nil"/>
                <w:between w:val="nil"/>
              </w:pBdr>
              <w:spacing w:after="60"/>
              <w:rPr>
                <w:rFonts w:ascii="Times New Roman" w:eastAsia="Times New Roman" w:hAnsi="Times New Roman" w:cs="Times New Roman"/>
                <w:color w:val="000000"/>
              </w:rPr>
            </w:pPr>
            <w:r>
              <w:rPr>
                <w:rFonts w:ascii="Times New Roman" w:eastAsia="Times New Roman" w:hAnsi="Times New Roman" w:cs="Times New Roman"/>
                <w:color w:val="000000"/>
              </w:rPr>
              <w:t>Közös órai foglalkozások, műhelymunkák egy-egy tematika mentén; óra közbeni csoportos vagy egyedül elvégzendő feladatok, órára való készülés</w:t>
            </w:r>
          </w:p>
          <w:p w:rsidR="00F25BE6" w:rsidRDefault="00B35892">
            <w:pPr>
              <w:spacing w:after="60"/>
              <w:ind w:firstLine="0"/>
              <w:rPr>
                <w:rFonts w:ascii="Times New Roman" w:eastAsia="Times New Roman" w:hAnsi="Times New Roman" w:cs="Times New Roman"/>
              </w:rPr>
            </w:pPr>
            <w:r>
              <w:rPr>
                <w:rFonts w:ascii="Times New Roman" w:eastAsia="Times New Roman" w:hAnsi="Times New Roman" w:cs="Times New Roman"/>
              </w:rPr>
              <w:t xml:space="preserve">   A hallgatók tennivalói, feladatai:</w:t>
            </w:r>
            <w:r w:rsidR="004D0F7C">
              <w:rPr>
                <w:rFonts w:ascii="Times New Roman" w:eastAsia="Times New Roman" w:hAnsi="Times New Roman" w:cs="Times New Roman"/>
              </w:rPr>
              <w:t xml:space="preserve"> a kurzus keretében meghatározott otthoni feladatok által felkészülni és prezentálni</w:t>
            </w:r>
          </w:p>
          <w:p w:rsidR="00F25BE6" w:rsidRDefault="00F25BE6">
            <w:pPr>
              <w:ind w:firstLine="0"/>
              <w:rPr>
                <w:rFonts w:ascii="Times New Roman" w:eastAsia="Times New Roman" w:hAnsi="Times New Roman" w:cs="Times New Roman"/>
              </w:rPr>
            </w:pPr>
          </w:p>
          <w:p w:rsidR="00F25BE6" w:rsidRDefault="00B35892">
            <w:pPr>
              <w:ind w:left="276" w:firstLine="0"/>
              <w:rPr>
                <w:rFonts w:ascii="Times New Roman" w:eastAsia="Times New Roman" w:hAnsi="Times New Roman" w:cs="Times New Roman"/>
              </w:rPr>
            </w:pPr>
            <w:r>
              <w:rPr>
                <w:rFonts w:ascii="Times New Roman" w:eastAsia="Times New Roman" w:hAnsi="Times New Roman" w:cs="Times New Roman"/>
              </w:rPr>
              <w:t xml:space="preserve">A tanulás környezete: </w:t>
            </w:r>
            <w:r w:rsidR="000B4EA3">
              <w:rPr>
                <w:rFonts w:ascii="Times New Roman" w:eastAsia="Times New Roman" w:hAnsi="Times New Roman" w:cs="Times New Roman"/>
              </w:rPr>
              <w:t>tanterem és otthon</w:t>
            </w:r>
          </w:p>
          <w:p w:rsidR="00F25BE6" w:rsidRDefault="00F25BE6">
            <w:pPr>
              <w:ind w:firstLine="0"/>
              <w:rPr>
                <w:rFonts w:ascii="Times New Roman" w:eastAsia="Times New Roman" w:hAnsi="Times New Roman" w:cs="Times New Roman"/>
              </w:rPr>
            </w:pPr>
            <w:bookmarkStart w:id="1" w:name="_heading=h.gjdgxs" w:colFirst="0" w:colLast="0"/>
            <w:bookmarkEnd w:id="1"/>
          </w:p>
          <w:p w:rsidR="00F25BE6" w:rsidRDefault="00F25BE6">
            <w:pPr>
              <w:ind w:firstLine="0"/>
              <w:rPr>
                <w:rFonts w:ascii="Times New Roman" w:eastAsia="Times New Roman" w:hAnsi="Times New Roman" w:cs="Times New Roman"/>
              </w:rPr>
            </w:pPr>
          </w:p>
        </w:tc>
      </w:tr>
      <w:tr w:rsidR="00F25BE6">
        <w:trPr>
          <w:trHeight w:val="653"/>
        </w:trPr>
        <w:tc>
          <w:tcPr>
            <w:tcW w:w="9270" w:type="dxa"/>
            <w:gridSpan w:val="5"/>
            <w:tcBorders>
              <w:bottom w:val="single" w:sz="4" w:space="0" w:color="000000"/>
            </w:tcBorders>
          </w:tcPr>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Értékelés:</w:t>
            </w:r>
          </w:p>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(Több tanár és tanáronként külön értékelés esetén tanáronként megbontva)</w:t>
            </w:r>
          </w:p>
          <w:p w:rsidR="00F25BE6" w:rsidRDefault="00F25BE6">
            <w:pPr>
              <w:ind w:firstLine="0"/>
              <w:rPr>
                <w:rFonts w:ascii="Times New Roman" w:eastAsia="Times New Roman" w:hAnsi="Times New Roman" w:cs="Times New Roman"/>
              </w:rPr>
            </w:pPr>
          </w:p>
          <w:p w:rsidR="00F25BE6" w:rsidRDefault="00B35892">
            <w:pPr>
              <w:ind w:firstLine="0"/>
              <w:rPr>
                <w:rFonts w:ascii="Times New Roman" w:eastAsia="Times New Roman" w:hAnsi="Times New Roman" w:cs="Times New Roman"/>
                <w:i/>
              </w:rPr>
            </w:pPr>
            <w:r>
              <w:rPr>
                <w:rFonts w:ascii="Times New Roman" w:eastAsia="Times New Roman" w:hAnsi="Times New Roman" w:cs="Times New Roman"/>
              </w:rPr>
              <w:t xml:space="preserve">   Teljesítendő követelmények: </w:t>
            </w:r>
            <w:r>
              <w:rPr>
                <w:rFonts w:ascii="Times New Roman" w:eastAsia="Times New Roman" w:hAnsi="Times New Roman" w:cs="Times New Roman"/>
                <w:i/>
              </w:rPr>
              <w:t>órai aktivitás, órák közötti kutatási feladatok elvégzése, azoknak pontos metodológiai leképezése, egymás munkájának megismerése és annak szóbeli értékelése</w:t>
            </w:r>
          </w:p>
          <w:p w:rsidR="00F25BE6" w:rsidRDefault="00F25BE6">
            <w:pPr>
              <w:ind w:firstLine="0"/>
              <w:rPr>
                <w:rFonts w:ascii="Times New Roman" w:eastAsia="Times New Roman" w:hAnsi="Times New Roman" w:cs="Times New Roman"/>
              </w:rPr>
            </w:pPr>
          </w:p>
          <w:p w:rsidR="00F25BE6" w:rsidRDefault="00F25BE6">
            <w:pPr>
              <w:ind w:firstLine="0"/>
              <w:rPr>
                <w:rFonts w:ascii="Times New Roman" w:eastAsia="Times New Roman" w:hAnsi="Times New Roman" w:cs="Times New Roman"/>
              </w:rPr>
            </w:pPr>
          </w:p>
          <w:p w:rsidR="00F25BE6" w:rsidRDefault="00B35892">
            <w:pPr>
              <w:ind w:left="276" w:firstLine="0"/>
              <w:rPr>
                <w:rFonts w:ascii="Times New Roman" w:eastAsia="Times New Roman" w:hAnsi="Times New Roman" w:cs="Times New Roman"/>
              </w:rPr>
            </w:pPr>
            <w:r>
              <w:rPr>
                <w:rFonts w:ascii="Times New Roman" w:eastAsia="Times New Roman" w:hAnsi="Times New Roman" w:cs="Times New Roman"/>
              </w:rPr>
              <w:t>Értékelés módja: (milyen módszerekkel zajlik az értékelés {teszt, szóbeli felelet, gyakorlati demonstráció stb.})</w:t>
            </w:r>
          </w:p>
          <w:p w:rsidR="00F25BE6" w:rsidRDefault="00B35892">
            <w:pPr>
              <w:numPr>
                <w:ilvl w:val="0"/>
                <w:numId w:val="3"/>
              </w:numPr>
              <w:rPr>
                <w:rFonts w:ascii="Times New Roman" w:eastAsia="Times New Roman" w:hAnsi="Times New Roman" w:cs="Times New Roman"/>
              </w:rPr>
            </w:pPr>
            <w:r>
              <w:rPr>
                <w:rFonts w:ascii="Times New Roman" w:eastAsia="Times New Roman" w:hAnsi="Times New Roman" w:cs="Times New Roman"/>
              </w:rPr>
              <w:t>végső prezentáció elkészítése (prototípustervek felvázolásával), amelyben részletesen vázol elméleti bevezetőt és jövőbeli szcenáriókat adott “megoldásokkal”</w:t>
            </w:r>
          </w:p>
          <w:p w:rsidR="00F25BE6" w:rsidRDefault="00F25BE6">
            <w:pPr>
              <w:ind w:left="276" w:firstLine="0"/>
              <w:rPr>
                <w:rFonts w:ascii="Times New Roman" w:eastAsia="Times New Roman" w:hAnsi="Times New Roman" w:cs="Times New Roman"/>
              </w:rPr>
            </w:pPr>
          </w:p>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 xml:space="preserve">    Az értékelés szempontjai (mi mindent veszünk figyelembe az értékelésben): </w:t>
            </w:r>
          </w:p>
          <w:p w:rsidR="00F25BE6" w:rsidRDefault="00B35892">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kutatás eredetisége; </w:t>
            </w:r>
          </w:p>
          <w:p w:rsidR="00F25BE6" w:rsidRDefault="00B35892">
            <w:pPr>
              <w:numPr>
                <w:ilvl w:val="0"/>
                <w:numId w:val="1"/>
              </w:numPr>
              <w:rPr>
                <w:rFonts w:ascii="Times New Roman" w:eastAsia="Times New Roman" w:hAnsi="Times New Roman" w:cs="Times New Roman"/>
              </w:rPr>
            </w:pPr>
            <w:r>
              <w:rPr>
                <w:rFonts w:ascii="Times New Roman" w:eastAsia="Times New Roman" w:hAnsi="Times New Roman" w:cs="Times New Roman"/>
              </w:rPr>
              <w:t>háttérkutatás alapossága</w:t>
            </w:r>
          </w:p>
          <w:p w:rsidR="004D0F7C" w:rsidRDefault="004D0F7C">
            <w:pPr>
              <w:numPr>
                <w:ilvl w:val="0"/>
                <w:numId w:val="1"/>
              </w:numPr>
              <w:rPr>
                <w:rFonts w:ascii="Times New Roman" w:eastAsia="Times New Roman" w:hAnsi="Times New Roman" w:cs="Times New Roman"/>
              </w:rPr>
            </w:pPr>
            <w:r>
              <w:rPr>
                <w:rFonts w:ascii="Times New Roman" w:eastAsia="Times New Roman" w:hAnsi="Times New Roman" w:cs="Times New Roman"/>
              </w:rPr>
              <w:t>órai felkészülés és aktivitás</w:t>
            </w:r>
          </w:p>
          <w:p w:rsidR="00F25BE6" w:rsidRDefault="00F25BE6">
            <w:pPr>
              <w:ind w:firstLine="0"/>
              <w:rPr>
                <w:rFonts w:ascii="Times New Roman" w:eastAsia="Times New Roman" w:hAnsi="Times New Roman" w:cs="Times New Roman"/>
              </w:rPr>
            </w:pPr>
          </w:p>
        </w:tc>
      </w:tr>
      <w:tr w:rsidR="00F25BE6">
        <w:trPr>
          <w:trHeight w:val="653"/>
        </w:trPr>
        <w:tc>
          <w:tcPr>
            <w:tcW w:w="9270" w:type="dxa"/>
            <w:gridSpan w:val="5"/>
            <w:tcBorders>
              <w:bottom w:val="single" w:sz="4" w:space="0" w:color="000000"/>
            </w:tcBorders>
          </w:tcPr>
          <w:p w:rsidR="00F25BE6" w:rsidRDefault="00F25BE6">
            <w:pPr>
              <w:ind w:firstLine="0"/>
              <w:rPr>
                <w:rFonts w:ascii="Times New Roman" w:eastAsia="Times New Roman" w:hAnsi="Times New Roman" w:cs="Times New Roman"/>
              </w:rPr>
            </w:pPr>
          </w:p>
          <w:p w:rsidR="00F25BE6" w:rsidRDefault="00B35892">
            <w:pPr>
              <w:ind w:left="276" w:firstLine="0"/>
              <w:rPr>
                <w:rFonts w:ascii="Times New Roman" w:eastAsia="Times New Roman" w:hAnsi="Times New Roman" w:cs="Times New Roman"/>
              </w:rPr>
            </w:pPr>
            <w:r>
              <w:rPr>
                <w:rFonts w:ascii="Times New Roman" w:eastAsia="Times New Roman" w:hAnsi="Times New Roman" w:cs="Times New Roman"/>
              </w:rPr>
              <w:t xml:space="preserve">Az érdemjegy kiszámítása (az egyes értékelt követelmények eredménye hogyan jelenik meg a végső érdemjegyben? {pl. arányok, pontok, súlyok}):  </w:t>
            </w:r>
          </w:p>
          <w:p w:rsidR="00F25BE6" w:rsidRDefault="00B35892">
            <w:pPr>
              <w:numPr>
                <w:ilvl w:val="0"/>
                <w:numId w:val="4"/>
              </w:numPr>
              <w:rPr>
                <w:rFonts w:ascii="Times New Roman" w:eastAsia="Times New Roman" w:hAnsi="Times New Roman" w:cs="Times New Roman"/>
              </w:rPr>
            </w:pPr>
            <w:r>
              <w:rPr>
                <w:rFonts w:ascii="Times New Roman" w:eastAsia="Times New Roman" w:hAnsi="Times New Roman" w:cs="Times New Roman"/>
              </w:rPr>
              <w:t>órai aktivitás 33,33%</w:t>
            </w:r>
          </w:p>
          <w:p w:rsidR="00F25BE6" w:rsidRDefault="00B35892">
            <w:pPr>
              <w:numPr>
                <w:ilvl w:val="0"/>
                <w:numId w:val="4"/>
              </w:numPr>
              <w:rPr>
                <w:rFonts w:ascii="Times New Roman" w:eastAsia="Times New Roman" w:hAnsi="Times New Roman" w:cs="Times New Roman"/>
              </w:rPr>
            </w:pPr>
            <w:r>
              <w:rPr>
                <w:rFonts w:ascii="Times New Roman" w:eastAsia="Times New Roman" w:hAnsi="Times New Roman" w:cs="Times New Roman"/>
              </w:rPr>
              <w:t>óráról órára a kutatási feladatok megoldása 33,33%</w:t>
            </w:r>
          </w:p>
          <w:p w:rsidR="00F25BE6" w:rsidRDefault="00B35892">
            <w:pPr>
              <w:numPr>
                <w:ilvl w:val="0"/>
                <w:numId w:val="4"/>
              </w:numPr>
              <w:rPr>
                <w:rFonts w:ascii="Times New Roman" w:eastAsia="Times New Roman" w:hAnsi="Times New Roman" w:cs="Times New Roman"/>
              </w:rPr>
            </w:pPr>
            <w:r>
              <w:rPr>
                <w:rFonts w:ascii="Times New Roman" w:eastAsia="Times New Roman" w:hAnsi="Times New Roman" w:cs="Times New Roman"/>
              </w:rPr>
              <w:t>végső prezentáció 33,33%</w:t>
            </w:r>
          </w:p>
          <w:p w:rsidR="00F25BE6" w:rsidRDefault="00F25BE6">
            <w:pPr>
              <w:ind w:firstLine="0"/>
              <w:rPr>
                <w:rFonts w:ascii="Times New Roman" w:eastAsia="Times New Roman" w:hAnsi="Times New Roman" w:cs="Times New Roman"/>
              </w:rPr>
            </w:pPr>
          </w:p>
        </w:tc>
      </w:tr>
      <w:tr w:rsidR="00F25BE6">
        <w:trPr>
          <w:trHeight w:val="1351"/>
        </w:trPr>
        <w:tc>
          <w:tcPr>
            <w:tcW w:w="9270" w:type="dxa"/>
            <w:gridSpan w:val="5"/>
          </w:tcPr>
          <w:p w:rsidR="00F25BE6" w:rsidRDefault="00B35892">
            <w:pPr>
              <w:ind w:firstLine="0"/>
              <w:rPr>
                <w:rFonts w:ascii="Times New Roman" w:eastAsia="Times New Roman" w:hAnsi="Times New Roman" w:cs="Times New Roman"/>
                <w:b/>
              </w:rPr>
            </w:pPr>
            <w:r>
              <w:rPr>
                <w:rFonts w:ascii="Times New Roman" w:eastAsia="Times New Roman" w:hAnsi="Times New Roman" w:cs="Times New Roman"/>
                <w:b/>
              </w:rPr>
              <w:t xml:space="preserve">Kötelező irodalom: </w:t>
            </w:r>
          </w:p>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 xml:space="preserve">Timothy Morton (2015). Introducing the idea of hyperobjects. </w:t>
            </w:r>
            <w:hyperlink r:id="rId6">
              <w:r>
                <w:rPr>
                  <w:rFonts w:ascii="Times New Roman" w:eastAsia="Times New Roman" w:hAnsi="Times New Roman" w:cs="Times New Roman"/>
                  <w:color w:val="1155CC"/>
                  <w:u w:val="single"/>
                </w:rPr>
                <w:t>https://www.hcn.org/issues/47.1/introducing-the-idea-of-hyperobjects</w:t>
              </w:r>
            </w:hyperlink>
          </w:p>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 xml:space="preserve">Anthony Dunne (2013). </w:t>
            </w:r>
            <w:r>
              <w:rPr>
                <w:rFonts w:ascii="Times New Roman" w:eastAsia="Times New Roman" w:hAnsi="Times New Roman" w:cs="Times New Roman"/>
                <w:i/>
              </w:rPr>
              <w:t>Speculative Everything</w:t>
            </w:r>
            <w:r>
              <w:rPr>
                <w:rFonts w:ascii="Times New Roman" w:eastAsia="Times New Roman" w:hAnsi="Times New Roman" w:cs="Times New Roman"/>
              </w:rPr>
              <w:t>. MIT Press, Massachusetts, Cambridge</w:t>
            </w:r>
          </w:p>
          <w:p w:rsidR="00F25BE6" w:rsidRDefault="00B35892">
            <w:pPr>
              <w:ind w:firstLine="0"/>
              <w:rPr>
                <w:rFonts w:ascii="Times New Roman" w:eastAsia="Times New Roman" w:hAnsi="Times New Roman" w:cs="Times New Roman"/>
                <w:i/>
                <w:color w:val="333333"/>
                <w:u w:val="single"/>
              </w:rPr>
            </w:pPr>
            <w:r>
              <w:rPr>
                <w:rFonts w:ascii="Times New Roman" w:eastAsia="Times New Roman" w:hAnsi="Times New Roman" w:cs="Times New Roman"/>
                <w:color w:val="333333"/>
                <w:highlight w:val="white"/>
              </w:rPr>
              <w:t>James Auger (2013)</w:t>
            </w:r>
            <w:r>
              <w:rPr>
                <w:rFonts w:ascii="Times New Roman" w:eastAsia="Times New Roman" w:hAnsi="Times New Roman" w:cs="Times New Roman"/>
                <w:i/>
                <w:color w:val="333333"/>
                <w:highlight w:val="white"/>
              </w:rPr>
              <w:t xml:space="preserve"> Speculative design: crafting the speculation, Digital Creativity, 24:1, 11-35, DOI: </w:t>
            </w:r>
            <w:hyperlink r:id="rId7">
              <w:r>
                <w:rPr>
                  <w:rFonts w:ascii="Times New Roman" w:eastAsia="Times New Roman" w:hAnsi="Times New Roman" w:cs="Times New Roman"/>
                  <w:i/>
                  <w:color w:val="333333"/>
                  <w:highlight w:val="white"/>
                  <w:u w:val="single"/>
                </w:rPr>
                <w:t>10.1080/14626268.2013.767276</w:t>
              </w:r>
            </w:hyperlink>
          </w:p>
          <w:p w:rsidR="00B35892" w:rsidRPr="00B35892" w:rsidRDefault="00B35892">
            <w:pPr>
              <w:ind w:firstLine="0"/>
              <w:rPr>
                <w:rFonts w:ascii="Times New Roman" w:eastAsia="Times New Roman" w:hAnsi="Times New Roman" w:cs="Times New Roman"/>
              </w:rPr>
            </w:pPr>
            <w:r>
              <w:rPr>
                <w:rFonts w:ascii="Times New Roman" w:eastAsia="Times New Roman" w:hAnsi="Times New Roman" w:cs="Times New Roman"/>
                <w:color w:val="333333"/>
              </w:rPr>
              <w:t xml:space="preserve">Jane McGonigal, </w:t>
            </w:r>
            <w:r w:rsidRPr="00B35892">
              <w:rPr>
                <w:rFonts w:ascii="Times New Roman" w:eastAsia="Times New Roman" w:hAnsi="Times New Roman" w:cs="Times New Roman"/>
                <w:i/>
                <w:color w:val="333333"/>
              </w:rPr>
              <w:t>The Reality is Broken.</w:t>
            </w:r>
            <w:r>
              <w:rPr>
                <w:rFonts w:ascii="Times New Roman" w:eastAsia="Times New Roman" w:hAnsi="Times New Roman" w:cs="Times New Roman"/>
                <w:color w:val="333333"/>
              </w:rPr>
              <w:t xml:space="preserve"> In: Why Games Makes Us Better. Penguin Book, 2011 301-344.</w:t>
            </w:r>
          </w:p>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lastRenderedPageBreak/>
              <w:t xml:space="preserve">Laura Forlano &amp; Anijo Mathew (2014) From Design Fiction to Design Friction: Speculative and Participatory Design of Values-Embedded Urban Technology, Journal of Urban Technology, 21:4, 7-24, DOI: </w:t>
            </w:r>
            <w:hyperlink r:id="rId8">
              <w:r>
                <w:rPr>
                  <w:rFonts w:ascii="Times New Roman" w:eastAsia="Times New Roman" w:hAnsi="Times New Roman" w:cs="Times New Roman"/>
                  <w:color w:val="1155CC"/>
                  <w:u w:val="single"/>
                </w:rPr>
                <w:t>10.1080/10630732.2014.971525</w:t>
              </w:r>
            </w:hyperlink>
          </w:p>
          <w:p w:rsidR="00F25BE6" w:rsidRDefault="00F25BE6">
            <w:pPr>
              <w:ind w:firstLine="0"/>
              <w:rPr>
                <w:rFonts w:ascii="Times New Roman" w:eastAsia="Times New Roman" w:hAnsi="Times New Roman" w:cs="Times New Roman"/>
              </w:rPr>
            </w:pPr>
          </w:p>
          <w:p w:rsidR="00F25BE6" w:rsidRDefault="00B35892">
            <w:pPr>
              <w:ind w:firstLine="0"/>
              <w:rPr>
                <w:rFonts w:ascii="Times New Roman" w:eastAsia="Times New Roman" w:hAnsi="Times New Roman" w:cs="Times New Roman"/>
                <w:b/>
                <w:i/>
              </w:rPr>
            </w:pPr>
            <w:r>
              <w:rPr>
                <w:rFonts w:ascii="Times New Roman" w:eastAsia="Times New Roman" w:hAnsi="Times New Roman" w:cs="Times New Roman"/>
                <w:b/>
              </w:rPr>
              <w:t>Ajánlott irodalom:</w:t>
            </w:r>
          </w:p>
          <w:p w:rsidR="00E24042" w:rsidRDefault="00E24042" w:rsidP="00E24042">
            <w:pPr>
              <w:ind w:firstLine="0"/>
              <w:rPr>
                <w:rFonts w:ascii="Times New Roman" w:eastAsia="Times New Roman" w:hAnsi="Times New Roman" w:cs="Times New Roman"/>
              </w:rPr>
            </w:pPr>
            <w:r>
              <w:rPr>
                <w:rFonts w:ascii="Times New Roman" w:eastAsia="Times New Roman" w:hAnsi="Times New Roman" w:cs="Times New Roman"/>
              </w:rPr>
              <w:t xml:space="preserve">Nathan Shedroff &amp; Christopher Noessel (2012). </w:t>
            </w:r>
            <w:r>
              <w:rPr>
                <w:rFonts w:ascii="Times New Roman" w:eastAsia="Times New Roman" w:hAnsi="Times New Roman" w:cs="Times New Roman"/>
                <w:i/>
              </w:rPr>
              <w:t>Make It So. Interaction Design Lessons from Science Fiction.</w:t>
            </w:r>
            <w:r>
              <w:rPr>
                <w:rFonts w:ascii="Times New Roman" w:eastAsia="Times New Roman" w:hAnsi="Times New Roman" w:cs="Times New Roman"/>
              </w:rPr>
              <w:t xml:space="preserve"> Rosenfeld Media: Berlin</w:t>
            </w:r>
          </w:p>
          <w:p w:rsidR="00E24042" w:rsidRDefault="00E24042">
            <w:pPr>
              <w:spacing w:after="120"/>
              <w:ind w:firstLine="0"/>
              <w:rPr>
                <w:rFonts w:ascii="Times New Roman" w:eastAsia="Times New Roman" w:hAnsi="Times New Roman" w:cs="Times New Roman"/>
              </w:rPr>
            </w:pPr>
          </w:p>
          <w:p w:rsidR="00F25BE6" w:rsidRDefault="00B35892">
            <w:pPr>
              <w:spacing w:after="120"/>
              <w:ind w:firstLine="0"/>
              <w:rPr>
                <w:rFonts w:ascii="Times New Roman" w:eastAsia="Times New Roman" w:hAnsi="Times New Roman" w:cs="Times New Roman"/>
              </w:rPr>
            </w:pPr>
            <w:r>
              <w:rPr>
                <w:rFonts w:ascii="Times New Roman" w:eastAsia="Times New Roman" w:hAnsi="Times New Roman" w:cs="Times New Roman"/>
              </w:rPr>
              <w:t xml:space="preserve">További olvasnivaló: SciFly hírlevél </w:t>
            </w:r>
            <w:hyperlink r:id="rId9">
              <w:r>
                <w:rPr>
                  <w:rFonts w:ascii="Times New Roman" w:eastAsia="Times New Roman" w:hAnsi="Times New Roman" w:cs="Times New Roman"/>
                  <w:color w:val="1155CC"/>
                  <w:u w:val="single"/>
                </w:rPr>
                <w:t>https://us17.campaign-archive.com/home/?u=b2ff400b04d58233a950c5491&amp;id=89415cd2b9</w:t>
              </w:r>
            </w:hyperlink>
          </w:p>
          <w:p w:rsidR="00F25BE6" w:rsidRDefault="00B35892">
            <w:pPr>
              <w:spacing w:after="120"/>
              <w:ind w:firstLine="0"/>
              <w:rPr>
                <w:rFonts w:ascii="Times New Roman" w:eastAsia="Times New Roman" w:hAnsi="Times New Roman" w:cs="Times New Roman"/>
              </w:rPr>
            </w:pPr>
            <w:r>
              <w:rPr>
                <w:rFonts w:ascii="Times New Roman" w:eastAsia="Times New Roman" w:hAnsi="Times New Roman" w:cs="Times New Roman"/>
              </w:rPr>
              <w:t xml:space="preserve">SpecEdu oktatási workshopsorozat weboldala: </w:t>
            </w:r>
            <w:hyperlink r:id="rId10">
              <w:r>
                <w:rPr>
                  <w:rFonts w:ascii="Times New Roman" w:eastAsia="Times New Roman" w:hAnsi="Times New Roman" w:cs="Times New Roman"/>
                  <w:color w:val="1155CC"/>
                  <w:u w:val="single"/>
                </w:rPr>
                <w:t>https://speculativeedu.eu/</w:t>
              </w:r>
            </w:hyperlink>
          </w:p>
          <w:p w:rsidR="00E24042" w:rsidRDefault="00E24042">
            <w:pPr>
              <w:spacing w:after="120"/>
              <w:ind w:firstLine="0"/>
              <w:rPr>
                <w:rFonts w:ascii="Times New Roman" w:eastAsia="Times New Roman" w:hAnsi="Times New Roman" w:cs="Times New Roman"/>
              </w:rPr>
            </w:pPr>
          </w:p>
          <w:p w:rsidR="00F25BE6" w:rsidRDefault="00B35892">
            <w:pPr>
              <w:spacing w:after="120"/>
              <w:ind w:firstLine="0"/>
              <w:rPr>
                <w:rFonts w:ascii="Times New Roman" w:eastAsia="Times New Roman" w:hAnsi="Times New Roman" w:cs="Times New Roman"/>
              </w:rPr>
            </w:pPr>
            <w:r>
              <w:rPr>
                <w:rFonts w:ascii="Times New Roman" w:eastAsia="Times New Roman" w:hAnsi="Times New Roman" w:cs="Times New Roman"/>
              </w:rPr>
              <w:t>Speculative Narratives slack-csatorna</w:t>
            </w:r>
          </w:p>
          <w:p w:rsidR="00F25BE6" w:rsidRDefault="00F25BE6">
            <w:pPr>
              <w:spacing w:after="120"/>
              <w:ind w:firstLine="0"/>
              <w:rPr>
                <w:rFonts w:ascii="Times New Roman" w:eastAsia="Times New Roman" w:hAnsi="Times New Roman" w:cs="Times New Roman"/>
              </w:rPr>
            </w:pPr>
          </w:p>
          <w:p w:rsidR="00F25BE6" w:rsidRDefault="00F25BE6">
            <w:pPr>
              <w:spacing w:after="120"/>
              <w:ind w:firstLine="0"/>
              <w:rPr>
                <w:rFonts w:ascii="Times New Roman" w:eastAsia="Times New Roman" w:hAnsi="Times New Roman" w:cs="Times New Roman"/>
              </w:rPr>
            </w:pPr>
          </w:p>
        </w:tc>
      </w:tr>
      <w:tr w:rsidR="00F25BE6">
        <w:trPr>
          <w:trHeight w:val="1351"/>
        </w:trPr>
        <w:tc>
          <w:tcPr>
            <w:tcW w:w="9270" w:type="dxa"/>
            <w:gridSpan w:val="5"/>
          </w:tcPr>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lastRenderedPageBreak/>
              <w:t>Egyéb információk:</w:t>
            </w:r>
          </w:p>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A kurzusnak nincsenek egyéb költségei</w:t>
            </w:r>
          </w:p>
        </w:tc>
      </w:tr>
      <w:tr w:rsidR="00F25BE6">
        <w:trPr>
          <w:trHeight w:val="2539"/>
        </w:trPr>
        <w:tc>
          <w:tcPr>
            <w:tcW w:w="9270" w:type="dxa"/>
            <w:gridSpan w:val="5"/>
            <w:tcBorders>
              <w:top w:val="single" w:sz="4" w:space="0" w:color="000000"/>
            </w:tcBorders>
          </w:tcPr>
          <w:p w:rsidR="00F25BE6" w:rsidRDefault="00B35892">
            <w:pPr>
              <w:ind w:firstLine="0"/>
              <w:rPr>
                <w:rFonts w:ascii="Times New Roman" w:eastAsia="Times New Roman" w:hAnsi="Times New Roman" w:cs="Times New Roman"/>
              </w:rPr>
            </w:pPr>
            <w:r>
              <w:rPr>
                <w:rFonts w:ascii="Times New Roman" w:eastAsia="Times New Roman" w:hAnsi="Times New Roman" w:cs="Times New Roman"/>
                <w:highlight w:val="yellow"/>
              </w:rPr>
              <w:t>Máshol/korábban szerzett tudás elismerése/ validációs elv:</w:t>
            </w:r>
          </w:p>
          <w:p w:rsidR="00F25BE6" w:rsidRDefault="00F25BE6">
            <w:pPr>
              <w:ind w:left="348" w:firstLine="0"/>
              <w:rPr>
                <w:rFonts w:ascii="Times New Roman" w:eastAsia="Times New Roman" w:hAnsi="Times New Roman" w:cs="Times New Roman"/>
              </w:rPr>
            </w:pPr>
          </w:p>
          <w:p w:rsidR="00F25BE6" w:rsidRDefault="00B35892">
            <w:pPr>
              <w:numPr>
                <w:ilvl w:val="1"/>
                <w:numId w:val="2"/>
              </w:numPr>
              <w:pBdr>
                <w:top w:val="nil"/>
                <w:left w:val="nil"/>
                <w:bottom w:val="nil"/>
                <w:right w:val="nil"/>
                <w:between w:val="nil"/>
              </w:pBdr>
              <w:rPr>
                <w:rFonts w:ascii="Times New Roman" w:eastAsia="Times New Roman" w:hAnsi="Times New Roman" w:cs="Times New Roman"/>
                <w:i/>
                <w:color w:val="000000"/>
              </w:rPr>
            </w:pPr>
            <w:r>
              <w:rPr>
                <w:rFonts w:ascii="Times New Roman" w:eastAsia="Times New Roman" w:hAnsi="Times New Roman" w:cs="Times New Roman"/>
                <w:i/>
                <w:color w:val="000000"/>
              </w:rPr>
              <w:t>teljeskörű beszámítás/elismerés lehetséges</w:t>
            </w:r>
          </w:p>
          <w:p w:rsidR="00F25BE6" w:rsidRDefault="00B35892">
            <w:pPr>
              <w:numPr>
                <w:ilvl w:val="1"/>
                <w:numId w:val="2"/>
              </w:numPr>
              <w:pBdr>
                <w:top w:val="nil"/>
                <w:left w:val="nil"/>
                <w:bottom w:val="nil"/>
                <w:right w:val="nil"/>
                <w:between w:val="nil"/>
              </w:pBdr>
              <w:rPr>
                <w:rFonts w:ascii="Times New Roman" w:eastAsia="Times New Roman" w:hAnsi="Times New Roman" w:cs="Times New Roman"/>
                <w:i/>
                <w:color w:val="000000"/>
                <w:highlight w:val="yellow"/>
                <w:u w:val="single"/>
              </w:rPr>
            </w:pPr>
            <w:r>
              <w:rPr>
                <w:rFonts w:ascii="Times New Roman" w:eastAsia="Times New Roman" w:hAnsi="Times New Roman" w:cs="Times New Roman"/>
                <w:i/>
                <w:color w:val="000000"/>
                <w:u w:val="single"/>
              </w:rPr>
              <w:t xml:space="preserve"> </w:t>
            </w:r>
            <w:r>
              <w:rPr>
                <w:rFonts w:ascii="Times New Roman" w:eastAsia="Times New Roman" w:hAnsi="Times New Roman" w:cs="Times New Roman"/>
                <w:i/>
                <w:color w:val="000000"/>
                <w:highlight w:val="yellow"/>
                <w:u w:val="single"/>
              </w:rPr>
              <w:t>részleges beszámítás/elismerés lehetséges</w:t>
            </w:r>
          </w:p>
          <w:p w:rsidR="00F25BE6" w:rsidRDefault="00B35892">
            <w:pPr>
              <w:numPr>
                <w:ilvl w:val="1"/>
                <w:numId w:val="2"/>
              </w:numPr>
              <w:pBdr>
                <w:top w:val="nil"/>
                <w:left w:val="nil"/>
                <w:bottom w:val="nil"/>
                <w:right w:val="nil"/>
                <w:between w:val="nil"/>
              </w:pBdr>
              <w:rPr>
                <w:rFonts w:ascii="Times New Roman" w:eastAsia="Times New Roman" w:hAnsi="Times New Roman" w:cs="Times New Roman"/>
                <w:i/>
                <w:color w:val="000000"/>
              </w:rPr>
            </w:pPr>
            <w:r>
              <w:rPr>
                <w:rFonts w:ascii="Times New Roman" w:eastAsia="Times New Roman" w:hAnsi="Times New Roman" w:cs="Times New Roman"/>
                <w:i/>
                <w:color w:val="000000"/>
              </w:rPr>
              <w:t>nincs lehetőség elismerésre/beszámításra</w:t>
            </w:r>
          </w:p>
        </w:tc>
      </w:tr>
      <w:tr w:rsidR="00F25BE6">
        <w:trPr>
          <w:trHeight w:val="271"/>
        </w:trPr>
        <w:tc>
          <w:tcPr>
            <w:tcW w:w="9270" w:type="dxa"/>
            <w:gridSpan w:val="5"/>
          </w:tcPr>
          <w:p w:rsidR="00F25BE6" w:rsidRDefault="00B35892">
            <w:pPr>
              <w:spacing w:before="60"/>
              <w:ind w:firstLine="0"/>
              <w:rPr>
                <w:rFonts w:ascii="Times New Roman" w:eastAsia="Times New Roman" w:hAnsi="Times New Roman" w:cs="Times New Roman"/>
              </w:rPr>
            </w:pPr>
            <w:r>
              <w:rPr>
                <w:rFonts w:ascii="Times New Roman" w:eastAsia="Times New Roman" w:hAnsi="Times New Roman" w:cs="Times New Roman"/>
              </w:rPr>
              <w:t>Tanórán kívüli konzultációs időpontok és helyszín: előre egyeztetés alapján</w:t>
            </w:r>
          </w:p>
          <w:p w:rsidR="00F25BE6" w:rsidRDefault="00F25BE6">
            <w:pPr>
              <w:ind w:firstLine="0"/>
              <w:rPr>
                <w:rFonts w:ascii="Times New Roman" w:eastAsia="Times New Roman" w:hAnsi="Times New Roman" w:cs="Times New Roman"/>
              </w:rPr>
            </w:pPr>
          </w:p>
        </w:tc>
      </w:tr>
    </w:tbl>
    <w:p w:rsidR="00F25BE6" w:rsidRDefault="00F25BE6">
      <w:pPr>
        <w:ind w:firstLine="0"/>
        <w:rPr>
          <w:rFonts w:ascii="Times New Roman" w:eastAsia="Times New Roman" w:hAnsi="Times New Roman" w:cs="Times New Roman"/>
        </w:rPr>
      </w:pPr>
    </w:p>
    <w:sectPr w:rsidR="00F25BE6">
      <w:pgSz w:w="11900" w:h="16840"/>
      <w:pgMar w:top="851" w:right="985" w:bottom="993" w:left="147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F422C"/>
    <w:multiLevelType w:val="multilevel"/>
    <w:tmpl w:val="CDBAF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4E2957"/>
    <w:multiLevelType w:val="multilevel"/>
    <w:tmpl w:val="6686A33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F77A68"/>
    <w:multiLevelType w:val="multilevel"/>
    <w:tmpl w:val="55AAF136"/>
    <w:lvl w:ilvl="0">
      <w:start w:val="1"/>
      <w:numFmt w:val="bullet"/>
      <w:pStyle w:val="Cmsor1"/>
      <w:lvlText w:val="-"/>
      <w:lvlJc w:val="left"/>
      <w:pPr>
        <w:ind w:left="720" w:hanging="360"/>
      </w:pPr>
      <w:rPr>
        <w:u w:val="none"/>
      </w:rPr>
    </w:lvl>
    <w:lvl w:ilvl="1">
      <w:start w:val="1"/>
      <w:numFmt w:val="bullet"/>
      <w:pStyle w:val="Cmsor2"/>
      <w:lvlText w:val="-"/>
      <w:lvlJc w:val="left"/>
      <w:pPr>
        <w:ind w:left="1440" w:hanging="360"/>
      </w:pPr>
      <w:rPr>
        <w:u w:val="none"/>
      </w:rPr>
    </w:lvl>
    <w:lvl w:ilvl="2">
      <w:start w:val="1"/>
      <w:numFmt w:val="bullet"/>
      <w:pStyle w:val="Cmsor3"/>
      <w:lvlText w:val="-"/>
      <w:lvlJc w:val="left"/>
      <w:pPr>
        <w:ind w:left="2160" w:hanging="360"/>
      </w:pPr>
      <w:rPr>
        <w:u w:val="none"/>
      </w:rPr>
    </w:lvl>
    <w:lvl w:ilvl="3">
      <w:start w:val="1"/>
      <w:numFmt w:val="bullet"/>
      <w:pStyle w:val="Cmsor4"/>
      <w:lvlText w:val="-"/>
      <w:lvlJc w:val="left"/>
      <w:pPr>
        <w:ind w:left="2880" w:hanging="360"/>
      </w:pPr>
      <w:rPr>
        <w:u w:val="none"/>
      </w:rPr>
    </w:lvl>
    <w:lvl w:ilvl="4">
      <w:start w:val="1"/>
      <w:numFmt w:val="bullet"/>
      <w:pStyle w:val="Cmsor5"/>
      <w:lvlText w:val="-"/>
      <w:lvlJc w:val="left"/>
      <w:pPr>
        <w:ind w:left="3600" w:hanging="360"/>
      </w:pPr>
      <w:rPr>
        <w:u w:val="none"/>
      </w:rPr>
    </w:lvl>
    <w:lvl w:ilvl="5">
      <w:start w:val="1"/>
      <w:numFmt w:val="bullet"/>
      <w:pStyle w:val="Cmsor6"/>
      <w:lvlText w:val="-"/>
      <w:lvlJc w:val="left"/>
      <w:pPr>
        <w:ind w:left="4320" w:hanging="360"/>
      </w:pPr>
      <w:rPr>
        <w:u w:val="none"/>
      </w:rPr>
    </w:lvl>
    <w:lvl w:ilvl="6">
      <w:start w:val="1"/>
      <w:numFmt w:val="bullet"/>
      <w:pStyle w:val="Cmsor7"/>
      <w:lvlText w:val="-"/>
      <w:lvlJc w:val="left"/>
      <w:pPr>
        <w:ind w:left="5040" w:hanging="360"/>
      </w:pPr>
      <w:rPr>
        <w:u w:val="none"/>
      </w:rPr>
    </w:lvl>
    <w:lvl w:ilvl="7">
      <w:start w:val="1"/>
      <w:numFmt w:val="bullet"/>
      <w:pStyle w:val="Cmsor8"/>
      <w:lvlText w:val="-"/>
      <w:lvlJc w:val="left"/>
      <w:pPr>
        <w:ind w:left="5760" w:hanging="360"/>
      </w:pPr>
      <w:rPr>
        <w:u w:val="none"/>
      </w:rPr>
    </w:lvl>
    <w:lvl w:ilvl="8">
      <w:start w:val="1"/>
      <w:numFmt w:val="bullet"/>
      <w:pStyle w:val="Cmsor9"/>
      <w:lvlText w:val="-"/>
      <w:lvlJc w:val="left"/>
      <w:pPr>
        <w:ind w:left="6480" w:hanging="360"/>
      </w:pPr>
      <w:rPr>
        <w:u w:val="none"/>
      </w:rPr>
    </w:lvl>
  </w:abstractNum>
  <w:abstractNum w:abstractNumId="3" w15:restartNumberingAfterBreak="0">
    <w:nsid w:val="309F00D0"/>
    <w:multiLevelType w:val="multilevel"/>
    <w:tmpl w:val="CA3C1690"/>
    <w:lvl w:ilvl="0">
      <w:start w:val="1"/>
      <w:numFmt w:val="lowerLetter"/>
      <w:lvlText w:val="%1.)"/>
      <w:lvlJc w:val="left"/>
      <w:pPr>
        <w:ind w:left="720" w:hanging="360"/>
      </w:pPr>
      <w:rPr>
        <w:b/>
      </w:rPr>
    </w:lvl>
    <w:lvl w:ilvl="1">
      <w:start w:val="1"/>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9267D40"/>
    <w:multiLevelType w:val="multilevel"/>
    <w:tmpl w:val="B39E5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BE6"/>
    <w:rsid w:val="000B4EA3"/>
    <w:rsid w:val="00352906"/>
    <w:rsid w:val="004D0F7C"/>
    <w:rsid w:val="006B37C6"/>
    <w:rsid w:val="00756D1C"/>
    <w:rsid w:val="00871832"/>
    <w:rsid w:val="009C5382"/>
    <w:rsid w:val="00B35892"/>
    <w:rsid w:val="00E24042"/>
    <w:rsid w:val="00F25BE6"/>
    <w:rsid w:val="00FE7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E16353-0ED3-443F-B986-2E177F4C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hu-HU"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D5F32"/>
  </w:style>
  <w:style w:type="paragraph" w:styleId="Cmsor1">
    <w:name w:val="heading 1"/>
    <w:basedOn w:val="Norml"/>
    <w:next w:val="Norml"/>
    <w:link w:val="Cmsor1Char"/>
    <w:qFormat/>
    <w:rsid w:val="00FD5F32"/>
    <w:pPr>
      <w:keepNext/>
      <w:numPr>
        <w:numId w:val="1"/>
      </w:numPr>
      <w:spacing w:before="240" w:after="60"/>
      <w:ind w:firstLine="0"/>
      <w:jc w:val="left"/>
      <w:outlineLvl w:val="0"/>
    </w:pPr>
    <w:rPr>
      <w:rFonts w:ascii="Arial" w:hAnsi="Arial" w:cs="Arial"/>
      <w:b/>
      <w:bCs/>
      <w:kern w:val="28"/>
      <w:sz w:val="28"/>
      <w:szCs w:val="28"/>
      <w:lang w:eastAsia="hu-HU"/>
    </w:rPr>
  </w:style>
  <w:style w:type="paragraph" w:styleId="Cmsor2">
    <w:name w:val="heading 2"/>
    <w:basedOn w:val="Norml"/>
    <w:next w:val="Norml"/>
    <w:link w:val="Cmsor2Char"/>
    <w:qFormat/>
    <w:rsid w:val="00FD5F32"/>
    <w:pPr>
      <w:keepNext/>
      <w:numPr>
        <w:ilvl w:val="1"/>
        <w:numId w:val="1"/>
      </w:numPr>
      <w:spacing w:before="240" w:after="60"/>
      <w:ind w:firstLine="0"/>
      <w:jc w:val="left"/>
      <w:outlineLvl w:val="1"/>
    </w:pPr>
    <w:rPr>
      <w:rFonts w:ascii="Arial" w:hAnsi="Arial" w:cs="Arial"/>
      <w:b/>
      <w:bCs/>
      <w:i/>
      <w:iCs/>
      <w:lang w:eastAsia="hu-HU"/>
    </w:rPr>
  </w:style>
  <w:style w:type="paragraph" w:styleId="Cmsor3">
    <w:name w:val="heading 3"/>
    <w:basedOn w:val="Norml"/>
    <w:next w:val="Norml"/>
    <w:link w:val="Cmsor3Char"/>
    <w:qFormat/>
    <w:rsid w:val="00FD5F32"/>
    <w:pPr>
      <w:keepNext/>
      <w:numPr>
        <w:ilvl w:val="2"/>
        <w:numId w:val="1"/>
      </w:numPr>
      <w:spacing w:before="240" w:after="60"/>
      <w:ind w:firstLine="0"/>
      <w:jc w:val="left"/>
      <w:outlineLvl w:val="2"/>
    </w:pPr>
    <w:rPr>
      <w:rFonts w:ascii="Times New Roman" w:hAnsi="Times New Roman" w:cs="Times New Roman"/>
      <w:b/>
      <w:bCs/>
      <w:lang w:eastAsia="hu-HU"/>
    </w:rPr>
  </w:style>
  <w:style w:type="paragraph" w:styleId="Cmsor4">
    <w:name w:val="heading 4"/>
    <w:basedOn w:val="Norml"/>
    <w:next w:val="Norml"/>
    <w:link w:val="Cmsor4Char"/>
    <w:qFormat/>
    <w:rsid w:val="00FD5F32"/>
    <w:pPr>
      <w:keepNext/>
      <w:numPr>
        <w:ilvl w:val="3"/>
        <w:numId w:val="1"/>
      </w:numPr>
      <w:spacing w:before="240" w:after="60"/>
      <w:ind w:firstLine="0"/>
      <w:jc w:val="left"/>
      <w:outlineLvl w:val="3"/>
    </w:pPr>
    <w:rPr>
      <w:rFonts w:ascii="Times New Roman" w:hAnsi="Times New Roman" w:cs="Times New Roman"/>
      <w:b/>
      <w:bCs/>
      <w:i/>
      <w:iCs/>
      <w:lang w:eastAsia="hu-HU"/>
    </w:rPr>
  </w:style>
  <w:style w:type="paragraph" w:styleId="Cmsor5">
    <w:name w:val="heading 5"/>
    <w:basedOn w:val="Norml"/>
    <w:next w:val="Norml"/>
    <w:link w:val="Cmsor5Char"/>
    <w:qFormat/>
    <w:rsid w:val="00FD5F32"/>
    <w:pPr>
      <w:numPr>
        <w:ilvl w:val="4"/>
        <w:numId w:val="1"/>
      </w:numPr>
      <w:spacing w:before="240" w:after="60"/>
      <w:ind w:firstLine="0"/>
      <w:jc w:val="left"/>
      <w:outlineLvl w:val="4"/>
    </w:pPr>
    <w:rPr>
      <w:rFonts w:ascii="Arial" w:hAnsi="Arial" w:cs="Arial"/>
      <w:sz w:val="22"/>
      <w:szCs w:val="22"/>
      <w:lang w:eastAsia="hu-HU"/>
    </w:rPr>
  </w:style>
  <w:style w:type="paragraph" w:styleId="Cmsor6">
    <w:name w:val="heading 6"/>
    <w:basedOn w:val="Norml"/>
    <w:next w:val="Norml"/>
    <w:link w:val="Cmsor6Char"/>
    <w:qFormat/>
    <w:rsid w:val="00FD5F32"/>
    <w:pPr>
      <w:numPr>
        <w:ilvl w:val="5"/>
        <w:numId w:val="1"/>
      </w:numPr>
      <w:spacing w:before="240" w:after="60"/>
      <w:ind w:firstLine="0"/>
      <w:jc w:val="left"/>
      <w:outlineLvl w:val="5"/>
    </w:pPr>
    <w:rPr>
      <w:rFonts w:ascii="Arial" w:hAnsi="Arial" w:cs="Arial"/>
      <w:i/>
      <w:iCs/>
      <w:sz w:val="22"/>
      <w:szCs w:val="22"/>
      <w:lang w:eastAsia="hu-HU"/>
    </w:rPr>
  </w:style>
  <w:style w:type="paragraph" w:styleId="Cmsor7">
    <w:name w:val="heading 7"/>
    <w:basedOn w:val="Norml"/>
    <w:next w:val="Norml"/>
    <w:link w:val="Cmsor7Char"/>
    <w:qFormat/>
    <w:rsid w:val="00FD5F32"/>
    <w:pPr>
      <w:numPr>
        <w:ilvl w:val="6"/>
        <w:numId w:val="1"/>
      </w:numPr>
      <w:spacing w:before="240" w:after="60"/>
      <w:ind w:firstLine="0"/>
      <w:jc w:val="left"/>
      <w:outlineLvl w:val="6"/>
    </w:pPr>
    <w:rPr>
      <w:rFonts w:ascii="Arial" w:hAnsi="Arial" w:cs="Arial"/>
      <w:sz w:val="20"/>
      <w:szCs w:val="20"/>
      <w:lang w:eastAsia="hu-HU"/>
    </w:rPr>
  </w:style>
  <w:style w:type="paragraph" w:styleId="Cmsor8">
    <w:name w:val="heading 8"/>
    <w:basedOn w:val="Norml"/>
    <w:next w:val="Norml"/>
    <w:link w:val="Cmsor8Char"/>
    <w:qFormat/>
    <w:rsid w:val="00FD5F32"/>
    <w:pPr>
      <w:numPr>
        <w:ilvl w:val="7"/>
        <w:numId w:val="1"/>
      </w:numPr>
      <w:spacing w:before="240" w:after="60"/>
      <w:ind w:firstLine="0"/>
      <w:jc w:val="left"/>
      <w:outlineLvl w:val="7"/>
    </w:pPr>
    <w:rPr>
      <w:rFonts w:ascii="Arial" w:hAnsi="Arial" w:cs="Arial"/>
      <w:i/>
      <w:iCs/>
      <w:sz w:val="20"/>
      <w:szCs w:val="20"/>
      <w:lang w:eastAsia="hu-HU"/>
    </w:rPr>
  </w:style>
  <w:style w:type="paragraph" w:styleId="Cmsor9">
    <w:name w:val="heading 9"/>
    <w:basedOn w:val="Norml"/>
    <w:next w:val="Norml"/>
    <w:link w:val="Cmsor9Char"/>
    <w:qFormat/>
    <w:rsid w:val="00FD5F32"/>
    <w:pPr>
      <w:numPr>
        <w:ilvl w:val="8"/>
        <w:numId w:val="1"/>
      </w:numPr>
      <w:spacing w:before="240" w:after="60"/>
      <w:ind w:firstLine="0"/>
      <w:jc w:val="left"/>
      <w:outlineLvl w:val="8"/>
    </w:pPr>
    <w:rPr>
      <w:rFonts w:ascii="Arial" w:hAnsi="Arial" w:cs="Arial"/>
      <w:i/>
      <w:iCs/>
      <w:sz w:val="18"/>
      <w:szCs w:val="1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qFormat/>
    <w:rsid w:val="00FF30CF"/>
    <w:pPr>
      <w:spacing w:before="240" w:after="60" w:line="276" w:lineRule="auto"/>
      <w:ind w:firstLine="284"/>
      <w:jc w:val="center"/>
      <w:outlineLvl w:val="0"/>
    </w:pPr>
    <w:rPr>
      <w:rFonts w:ascii="Cambria" w:hAnsi="Cambria" w:cs="Cambria"/>
      <w:b/>
      <w:bCs/>
      <w:color w:val="0070C0"/>
      <w:kern w:val="28"/>
      <w:sz w:val="32"/>
      <w:szCs w:val="32"/>
      <w:lang w:eastAsia="zh-TW"/>
    </w:rPr>
  </w:style>
  <w:style w:type="character" w:customStyle="1" w:styleId="Cmsor1Char">
    <w:name w:val="Címsor 1 Char"/>
    <w:link w:val="Cmsor1"/>
    <w:locked/>
    <w:rsid w:val="00FD5F32"/>
    <w:rPr>
      <w:rFonts w:ascii="Arial" w:hAnsi="Arial" w:cs="Arial"/>
      <w:b/>
      <w:bCs/>
      <w:kern w:val="28"/>
      <w:sz w:val="20"/>
      <w:szCs w:val="20"/>
      <w:lang w:val="hu-HU" w:eastAsia="hu-HU"/>
    </w:rPr>
  </w:style>
  <w:style w:type="character" w:customStyle="1" w:styleId="Cmsor2Char">
    <w:name w:val="Címsor 2 Char"/>
    <w:link w:val="Cmsor2"/>
    <w:locked/>
    <w:rsid w:val="00FD5F32"/>
    <w:rPr>
      <w:rFonts w:ascii="Arial" w:hAnsi="Arial" w:cs="Arial"/>
      <w:b/>
      <w:bCs/>
      <w:i/>
      <w:iCs/>
      <w:sz w:val="20"/>
      <w:szCs w:val="20"/>
      <w:lang w:val="hu-HU" w:eastAsia="hu-HU"/>
    </w:rPr>
  </w:style>
  <w:style w:type="character" w:customStyle="1" w:styleId="Cmsor3Char">
    <w:name w:val="Címsor 3 Char"/>
    <w:link w:val="Cmsor3"/>
    <w:locked/>
    <w:rsid w:val="00FD5F32"/>
    <w:rPr>
      <w:rFonts w:ascii="Times New Roman" w:hAnsi="Times New Roman" w:cs="Times New Roman"/>
      <w:b/>
      <w:bCs/>
      <w:sz w:val="20"/>
      <w:szCs w:val="20"/>
      <w:lang w:val="hu-HU" w:eastAsia="hu-HU"/>
    </w:rPr>
  </w:style>
  <w:style w:type="character" w:customStyle="1" w:styleId="Cmsor4Char">
    <w:name w:val="Címsor 4 Char"/>
    <w:link w:val="Cmsor4"/>
    <w:locked/>
    <w:rsid w:val="00FD5F32"/>
    <w:rPr>
      <w:rFonts w:ascii="Times New Roman" w:hAnsi="Times New Roman" w:cs="Times New Roman"/>
      <w:b/>
      <w:bCs/>
      <w:i/>
      <w:iCs/>
      <w:sz w:val="20"/>
      <w:szCs w:val="20"/>
      <w:lang w:val="hu-HU" w:eastAsia="hu-HU"/>
    </w:rPr>
  </w:style>
  <w:style w:type="character" w:customStyle="1" w:styleId="Cmsor5Char">
    <w:name w:val="Címsor 5 Char"/>
    <w:link w:val="Cmsor5"/>
    <w:locked/>
    <w:rsid w:val="00FD5F32"/>
    <w:rPr>
      <w:rFonts w:ascii="Arial" w:hAnsi="Arial" w:cs="Arial"/>
      <w:sz w:val="20"/>
      <w:szCs w:val="20"/>
      <w:lang w:val="hu-HU" w:eastAsia="hu-HU"/>
    </w:rPr>
  </w:style>
  <w:style w:type="character" w:customStyle="1" w:styleId="Cmsor6Char">
    <w:name w:val="Címsor 6 Char"/>
    <w:link w:val="Cmsor6"/>
    <w:locked/>
    <w:rsid w:val="00FD5F32"/>
    <w:rPr>
      <w:rFonts w:ascii="Arial" w:hAnsi="Arial" w:cs="Arial"/>
      <w:i/>
      <w:iCs/>
      <w:sz w:val="20"/>
      <w:szCs w:val="20"/>
      <w:lang w:val="hu-HU" w:eastAsia="hu-HU"/>
    </w:rPr>
  </w:style>
  <w:style w:type="character" w:customStyle="1" w:styleId="Cmsor7Char">
    <w:name w:val="Címsor 7 Char"/>
    <w:link w:val="Cmsor7"/>
    <w:locked/>
    <w:rsid w:val="00FD5F32"/>
    <w:rPr>
      <w:rFonts w:ascii="Arial" w:hAnsi="Arial" w:cs="Arial"/>
      <w:sz w:val="20"/>
      <w:szCs w:val="20"/>
      <w:lang w:val="hu-HU" w:eastAsia="hu-HU"/>
    </w:rPr>
  </w:style>
  <w:style w:type="character" w:customStyle="1" w:styleId="Cmsor8Char">
    <w:name w:val="Címsor 8 Char"/>
    <w:link w:val="Cmsor8"/>
    <w:locked/>
    <w:rsid w:val="00FD5F32"/>
    <w:rPr>
      <w:rFonts w:ascii="Arial" w:hAnsi="Arial" w:cs="Arial"/>
      <w:i/>
      <w:iCs/>
      <w:sz w:val="20"/>
      <w:szCs w:val="20"/>
      <w:lang w:val="hu-HU" w:eastAsia="hu-HU"/>
    </w:rPr>
  </w:style>
  <w:style w:type="character" w:customStyle="1" w:styleId="Cmsor9Char">
    <w:name w:val="Címsor 9 Char"/>
    <w:link w:val="Cmsor9"/>
    <w:locked/>
    <w:rsid w:val="00FD5F32"/>
    <w:rPr>
      <w:rFonts w:ascii="Arial" w:hAnsi="Arial" w:cs="Arial"/>
      <w:i/>
      <w:iCs/>
      <w:sz w:val="20"/>
      <w:szCs w:val="20"/>
      <w:lang w:val="hu-HU" w:eastAsia="hu-HU"/>
    </w:rPr>
  </w:style>
  <w:style w:type="paragraph" w:customStyle="1" w:styleId="Listaszerbekezds1">
    <w:name w:val="Listaszerű bekezdés1"/>
    <w:basedOn w:val="Norml"/>
    <w:rsid w:val="00FD5F32"/>
    <w:pPr>
      <w:ind w:left="720"/>
      <w:contextualSpacing/>
    </w:pPr>
  </w:style>
  <w:style w:type="paragraph" w:customStyle="1" w:styleId="Nv">
    <w:name w:val="Név"/>
    <w:basedOn w:val="Norml"/>
    <w:rsid w:val="00FD5F32"/>
    <w:pPr>
      <w:autoSpaceDE w:val="0"/>
      <w:autoSpaceDN w:val="0"/>
      <w:ind w:firstLine="0"/>
      <w:jc w:val="center"/>
    </w:pPr>
    <w:rPr>
      <w:rFonts w:ascii="Book Antiqua" w:hAnsi="Book Antiqua" w:cs="Book Antiqua"/>
      <w:b/>
      <w:bCs/>
      <w:lang w:eastAsia="hu-HU"/>
    </w:rPr>
  </w:style>
  <w:style w:type="character" w:customStyle="1" w:styleId="CmChar">
    <w:name w:val="Cím Char"/>
    <w:link w:val="Cm"/>
    <w:locked/>
    <w:rsid w:val="00FF30CF"/>
    <w:rPr>
      <w:rFonts w:ascii="Cambria" w:eastAsia="PMingLiU" w:hAnsi="Cambria" w:cs="Cambria"/>
      <w:b/>
      <w:bCs/>
      <w:color w:val="0070C0"/>
      <w:kern w:val="28"/>
      <w:sz w:val="32"/>
      <w:szCs w:val="32"/>
      <w:lang w:val="hu-HU" w:eastAsia="zh-TW"/>
    </w:rPr>
  </w:style>
  <w:style w:type="character" w:styleId="Hiperhivatkozs">
    <w:name w:val="Hyperlink"/>
    <w:rsid w:val="006872AB"/>
    <w:rPr>
      <w:rFonts w:cs="Times New Roman"/>
      <w:color w:val="0000FF"/>
      <w:u w:val="single"/>
    </w:rPr>
  </w:style>
  <w:style w:type="paragraph" w:styleId="Buborkszveg">
    <w:name w:val="Balloon Text"/>
    <w:basedOn w:val="Norml"/>
    <w:link w:val="BuborkszvegChar"/>
    <w:semiHidden/>
    <w:rsid w:val="00F87FD4"/>
    <w:rPr>
      <w:rFonts w:ascii="Tahoma" w:hAnsi="Tahoma" w:cs="Tahoma"/>
      <w:sz w:val="16"/>
      <w:szCs w:val="16"/>
    </w:rPr>
  </w:style>
  <w:style w:type="character" w:customStyle="1" w:styleId="BuborkszvegChar">
    <w:name w:val="Buborékszöveg Char"/>
    <w:link w:val="Buborkszveg"/>
    <w:semiHidden/>
    <w:locked/>
    <w:rsid w:val="00F87FD4"/>
    <w:rPr>
      <w:rFonts w:ascii="Tahoma" w:hAnsi="Tahoma" w:cs="Tahoma"/>
      <w:sz w:val="16"/>
      <w:szCs w:val="16"/>
      <w:lang w:val="hu-HU" w:eastAsia="x-none"/>
    </w:rPr>
  </w:style>
  <w:style w:type="character" w:styleId="Jegyzethivatkozs">
    <w:name w:val="annotation reference"/>
    <w:semiHidden/>
    <w:rsid w:val="00F87FD4"/>
    <w:rPr>
      <w:rFonts w:cs="Times New Roman"/>
      <w:sz w:val="16"/>
      <w:szCs w:val="16"/>
    </w:rPr>
  </w:style>
  <w:style w:type="paragraph" w:styleId="Jegyzetszveg">
    <w:name w:val="annotation text"/>
    <w:basedOn w:val="Norml"/>
    <w:link w:val="JegyzetszvegChar"/>
    <w:semiHidden/>
    <w:rsid w:val="00F87FD4"/>
    <w:rPr>
      <w:sz w:val="20"/>
      <w:szCs w:val="20"/>
    </w:rPr>
  </w:style>
  <w:style w:type="character" w:customStyle="1" w:styleId="JegyzetszvegChar">
    <w:name w:val="Jegyzetszöveg Char"/>
    <w:link w:val="Jegyzetszveg"/>
    <w:semiHidden/>
    <w:locked/>
    <w:rsid w:val="00F87FD4"/>
    <w:rPr>
      <w:rFonts w:ascii="Calibri" w:hAnsi="Calibri" w:cs="Calibri"/>
      <w:sz w:val="20"/>
      <w:szCs w:val="20"/>
      <w:lang w:val="hu-HU" w:eastAsia="x-none"/>
    </w:rPr>
  </w:style>
  <w:style w:type="paragraph" w:styleId="Megjegyzstrgya">
    <w:name w:val="annotation subject"/>
    <w:basedOn w:val="Jegyzetszveg"/>
    <w:next w:val="Jegyzetszveg"/>
    <w:link w:val="MegjegyzstrgyaChar"/>
    <w:semiHidden/>
    <w:rsid w:val="00F87FD4"/>
    <w:rPr>
      <w:b/>
      <w:bCs/>
    </w:rPr>
  </w:style>
  <w:style w:type="character" w:customStyle="1" w:styleId="MegjegyzstrgyaChar">
    <w:name w:val="Megjegyzés tárgya Char"/>
    <w:link w:val="Megjegyzstrgya"/>
    <w:semiHidden/>
    <w:locked/>
    <w:rsid w:val="00F87FD4"/>
    <w:rPr>
      <w:rFonts w:ascii="Calibri" w:hAnsi="Calibri" w:cs="Calibri"/>
      <w:b/>
      <w:bCs/>
      <w:sz w:val="20"/>
      <w:szCs w:val="20"/>
      <w:lang w:val="hu-HU" w:eastAsia="x-none"/>
    </w:rPr>
  </w:style>
  <w:style w:type="character" w:styleId="Mrltotthiperhivatkozs">
    <w:name w:val="FollowedHyperlink"/>
    <w:semiHidden/>
    <w:rsid w:val="00322C25"/>
    <w:rPr>
      <w:rFonts w:cs="Times New Roman"/>
      <w:color w:val="800080"/>
      <w:u w:val="single"/>
    </w:rPr>
  </w:style>
  <w:style w:type="table" w:styleId="Rcsostblzat">
    <w:name w:val="Table Grid"/>
    <w:basedOn w:val="Normltblzat"/>
    <w:rsid w:val="0002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681538"/>
    <w:pPr>
      <w:ind w:left="720"/>
      <w:contextualSpacing/>
    </w:p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Normltblzat"/>
    <w:tblPr>
      <w:tblStyleRowBandSize w:val="1"/>
      <w:tblStyleColBandSize w:val="1"/>
      <w:tblCellMar>
        <w:left w:w="70" w:type="dxa"/>
        <w:right w:w="70" w:type="dxa"/>
      </w:tblCellMar>
    </w:tblPr>
  </w:style>
  <w:style w:type="table" w:customStyle="1" w:styleId="a0">
    <w:basedOn w:val="Normltblzat"/>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oi.org/10.1080/10630732.2014.971525" TargetMode="External"/><Relationship Id="rId3" Type="http://schemas.openxmlformats.org/officeDocument/2006/relationships/styles" Target="styles.xml"/><Relationship Id="rId7" Type="http://schemas.openxmlformats.org/officeDocument/2006/relationships/hyperlink" Target="https://doi.org/10.1080/14626268.2013.767276"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cn.org/issues/47.1/introducing-the-idea-of-hyperobject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peculativeedu.eu/" TargetMode="External"/><Relationship Id="rId4" Type="http://schemas.openxmlformats.org/officeDocument/2006/relationships/settings" Target="settings.xml"/><Relationship Id="rId9" Type="http://schemas.openxmlformats.org/officeDocument/2006/relationships/hyperlink" Target="https://us17.campaign-archive.com/home/?u=b2ff400b04d58233a950c5491&amp;id=89415cd2b9"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Qsg5AJNsNikiFFrjXUf0jR/4og==">AMUW2mWj6xc7g36Bwd/90WivnX293VLbvm1Avow8QM2cOLy1CikLEdGQOR918J/Z6gEsJ780RaWDakmdSvlRWmAgrAZIeNXFdNSos7LmljX7w5O13igRPDrY6ZObcjQGkebmKfaBTp0p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5641</Characters>
  <Application>Microsoft Office Word</Application>
  <DocSecurity>0</DocSecurity>
  <Lines>47</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Erzsebet Csereklye</dc:creator>
  <cp:lastModifiedBy>Dávid Lívia</cp:lastModifiedBy>
  <cp:revision>2</cp:revision>
  <dcterms:created xsi:type="dcterms:W3CDTF">2020-09-02T06:02:00Z</dcterms:created>
  <dcterms:modified xsi:type="dcterms:W3CDTF">2020-09-02T06:02:00Z</dcterms:modified>
</cp:coreProperties>
</file>