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Lines w:val="0"/>
        <w:spacing w:after="60" w:before="240" w:line="24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7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605"/>
        <w:gridCol w:w="2505"/>
        <w:gridCol w:w="1560"/>
        <w:gridCol w:w="1559"/>
        <w:gridCol w:w="2268"/>
        <w:tblGridChange w:id="0">
          <w:tblGrid>
            <w:gridCol w:w="1605"/>
            <w:gridCol w:w="2505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Kurzus neve: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Divat és textil design alapok 2. - MINTA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oktatója/i, elérhetősége(i):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kh6rgcihknk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BÉNYEI TÜNDE egy . docens, tbenyei@mome.hu</w:t>
            </w:r>
          </w:p>
        </w:tc>
      </w:tr>
      <w:tr>
        <w:trPr>
          <w:cantSplit w:val="0"/>
          <w:trHeight w:val="189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B-TX-201-MINTA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BA1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tantárgy helye a tantervben (szemeszter): tavaszi szemeszter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kredit a tantárgy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Tanóraszám: 96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hallgatói munkaóra: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Típus: (szeminárium/előadás/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gyakorlat/konzultáció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stb.)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Szab.vál-ként felvehető-e?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B">
            <w:pPr>
              <w:tabs>
                <w:tab w:val="left" w:pos="448"/>
                <w:tab w:val="left" w:pos="217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előfeltétel: B-TX-101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párhuzamosságok: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az alábbi kurzusok valamelyike: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B-TX-201-DIVAT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B-TX-201-ÖLTÖZÉKKIEGÉSZÍTŐ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 fenti kurzus alapján a két számítógépes ismeretek kurzus valamelyike: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B-TX-201-SZGEP-ISM-ÖLTKIEG-CSOP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B-TX-201-SZGEP-ISM-DIVAT-CSOP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és a következő kurzusok mindegyike: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B-TX-201-TEXTIL-ES-VISELETTÖRT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B-TX-201-ÁBRÁZOLÁS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B-TX-201-NÉPRAJZ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.6718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 és alapelvei:    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 Divat- és Textil Design alapok 2 tantárgy célja , hogy megismertesse és megalapozza a divat és textil különböző területeihez kötődő szakmai ismereteket és lehetőséget biztosítson azok gyakorlatban való alkalmazására. “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(B-TX-201 tantárgy leírása)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Tudás:  </w:t>
            </w:r>
          </w:p>
          <w:p w:rsidR="00000000" w:rsidDel="00000000" w:rsidP="00000000" w:rsidRDefault="00000000" w:rsidRPr="00000000" w14:paraId="0000003C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“Ismeri a textil- és divattervezés terén végzett tervezői/alkotói tevékenységek alapjául szolgáló anyagokat, technikákat, valamint a tevékenységek végzésének körülményeit.</w:t>
            </w:r>
          </w:p>
          <w:p w:rsidR="00000000" w:rsidDel="00000000" w:rsidP="00000000" w:rsidRDefault="00000000" w:rsidRPr="00000000" w14:paraId="0000003D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Alapvető ismeretekkel rendelkezik a divat és textil felület, struktúra, minta és forma meghatározó kérdéseiről, módszereiről és eredményeiről.  Ismeri az alapanyag - struktúra- forma viszonyát.</w:t>
            </w:r>
          </w:p>
          <w:p w:rsidR="00000000" w:rsidDel="00000000" w:rsidP="00000000" w:rsidRDefault="00000000" w:rsidRPr="00000000" w14:paraId="0000003E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Ismeri a textil- és divattervezés alapvető ötletfejlesztési, értékelési és szelekciós módszereit.</w:t>
            </w:r>
          </w:p>
          <w:p w:rsidR="00000000" w:rsidDel="00000000" w:rsidP="00000000" w:rsidRDefault="00000000" w:rsidRPr="00000000" w14:paraId="0000003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Érti az analitikus, kreatív és intuitív gondolkodási mód működésének főbb különbségeit, folyamatát, valamint ismeri az alapvető ötlet- és koncepciófejlesztési, valamint innovációs módszereket.                                                                                                                                                                  Rajzi és grafikai ábrázolásmódjával alkalmas a szakmai koncepciók érthető és értelmező megjelenítésére.</w:t>
            </w:r>
          </w:p>
          <w:p w:rsidR="00000000" w:rsidDel="00000000" w:rsidP="00000000" w:rsidRDefault="00000000" w:rsidRPr="00000000" w14:paraId="0000004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Ismeri és megalapozza a képi ábrázolási ismereteket. Megismeri a képalkotási technikákat és eljárásokat a műtermi gyakorlat során.”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(B-TX-201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Képesség:   </w:t>
            </w:r>
          </w:p>
          <w:p w:rsidR="00000000" w:rsidDel="00000000" w:rsidP="00000000" w:rsidRDefault="00000000" w:rsidRPr="00000000" w14:paraId="000000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“Képes a textil- és divattervezés tervezői/alkotói gyakorlat során tudatos és kreatív munkára, rutin szakmai problémák azonosítására és megoldására. </w:t>
            </w:r>
          </w:p>
          <w:p w:rsidR="00000000" w:rsidDel="00000000" w:rsidP="00000000" w:rsidRDefault="00000000" w:rsidRPr="00000000" w14:paraId="00000045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Ismeretei révén képes az adott alkotói folyamathoz megfelelő eszközt, módszert és technológiát alkalmazni tervei megvalósításához. </w:t>
            </w:r>
          </w:p>
          <w:p w:rsidR="00000000" w:rsidDel="00000000" w:rsidP="00000000" w:rsidRDefault="00000000" w:rsidRPr="00000000" w14:paraId="00000046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Tudását, intuícióját mint hajtóerőt alkalmazza tervezési/alkotói koncepciók fejlesztésére és alkalmazására. </w:t>
            </w:r>
          </w:p>
          <w:p w:rsidR="00000000" w:rsidDel="00000000" w:rsidP="00000000" w:rsidRDefault="00000000" w:rsidRPr="00000000" w14:paraId="00000047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 tanulmányai során szerzett ismeretei alapján képes a tardícionális tudásanyag analízisére, feldolgozására és újraértelmezésére.”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(B-TX-201 tantárgy leírása)</w:t>
            </w:r>
          </w:p>
          <w:p w:rsidR="00000000" w:rsidDel="00000000" w:rsidP="00000000" w:rsidRDefault="00000000" w:rsidRPr="00000000" w14:paraId="00000049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Attitűd:   </w:t>
            </w:r>
          </w:p>
          <w:p w:rsidR="00000000" w:rsidDel="00000000" w:rsidP="00000000" w:rsidRDefault="00000000" w:rsidRPr="00000000" w14:paraId="0000004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“Elkötelezett saját szakterülete alapjainak ismerete iránt.  Szakmai tevékenységét minőség és értékorientált szemlélet jellemzi. </w:t>
            </w:r>
          </w:p>
          <w:p w:rsidR="00000000" w:rsidDel="00000000" w:rsidP="00000000" w:rsidRDefault="00000000" w:rsidRPr="00000000" w14:paraId="0000004C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Törekszik arra, hogy önállóan hozzon létre terveket/alkotásokat vagy részt vegyen közös művészeti produkciók létrehozásában.”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(B-TX-201 tantárgy leírása)</w:t>
            </w:r>
          </w:p>
          <w:p w:rsidR="00000000" w:rsidDel="00000000" w:rsidP="00000000" w:rsidRDefault="00000000" w:rsidRPr="00000000" w14:paraId="0000004E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Autonómia és felelősségvállalás: </w:t>
            </w:r>
          </w:p>
          <w:p w:rsidR="00000000" w:rsidDel="00000000" w:rsidP="00000000" w:rsidRDefault="00000000" w:rsidRPr="00000000" w14:paraId="00000051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“Önállóan tájékozódik és valósítja meg saját művészeti koncepcióit. </w:t>
            </w:r>
          </w:p>
          <w:p w:rsidR="00000000" w:rsidDel="00000000" w:rsidP="00000000" w:rsidRDefault="00000000" w:rsidRPr="00000000" w14:paraId="00000052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Változó helyzetekben mozgósítja tudását és képességeit.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(B-TX-201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TERVEZÉSI FELADAT: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REKONSTRUKCIÓ-KONSTRUKCIÓ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 6 hetes bontásban textil mintatervezés feladatokat oldanak meg a hallgatók. Az első 6 hétben egy kapott illusztráción (festmény, grafika, metszet...) fellelhető és leolvasható minták rekonstruálása a cél. Léptékek és ismétlődések meghatározása, raport fogalmának megismerése és annak kézzel festett reprodukálása a feladat.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második 6 hétben az illusztráción fellelhető minták újraértelmezése, újrakonstruálása a feladat kéthetente más-más eszközökkel megoldva.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Feldolgozandó témakörök: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left="108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minta fogalma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left="108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raport fogalma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left="108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Mintaszervezés, kompozíciók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ind w:left="108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Grafikai ábrázolásmódok, technikák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ind w:left="108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kézifestés sajátosságai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left="108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Lépték és arány problematika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108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Színek és hangsúlyok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ind w:left="108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Tónusértékek szerepe a mintatervezésben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ind w:left="108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minta felhasználása, megjelenési területei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1fob9te" w:id="3"/>
            <w:bookmarkEnd w:id="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ind w:left="134" w:firstLine="0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m6mb38ipoei8" w:id="4"/>
            <w:bookmarkEnd w:id="4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TERVEZÉSI ÓRA:</w:t>
            </w:r>
          </w:p>
          <w:p w:rsidR="00000000" w:rsidDel="00000000" w:rsidP="00000000" w:rsidRDefault="00000000" w:rsidRPr="00000000" w14:paraId="00000073">
            <w:pPr>
              <w:spacing w:after="6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félév során, a kontaktórák személyes jelenléttel történnek. Amennyiben a kormány online oktatásról dönt, úgy a tervezési órák videokonferencia formájában szerveződnek. A konzultációkat segítő tananyaghoz emailen keresztül jutnak hozzá a hallgatók. A technikai feltételeket a google szolgáltatások valamelyikével (meet, classroom ) oldjuk meg. A kurzust egy felelős tervező tanár vezeti.</w:t>
            </w:r>
          </w:p>
          <w:p w:rsidR="00000000" w:rsidDel="00000000" w:rsidP="00000000" w:rsidRDefault="00000000" w:rsidRPr="00000000" w14:paraId="00000074">
            <w:pPr>
              <w:spacing w:after="6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spacing w:after="6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76">
            <w:pPr>
              <w:spacing w:after="6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Hétről hétre, google drive-ba feltöltött prezentációkkal és tervekkel készülnek a konzultációkra. Alkalmanként újabb megoldásokat hozva, majd folyamatosan kidolgozva a tervezés során felmerült kérdéseket.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tanulás környezete: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Otthoni környezetben, az órarendben megadott időpontban pedig személyes konzultációk formájában.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személyes konzultációk 15 fő befogadására és vetítésre alkalmas tanteremben történik.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konzultációt vezető tanár 1-től 5-ig terjedő gyakorlati jegyet ad a félév végén.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Teljesítendő követelmények: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feladatkiírásban megadott méret- és darabszámnak megfelelő munkák határidőre való feltöltése, prezentáció készítése, összefoglalva benne a gondolatmenetet, tapasztalatokat, bemutatva a vázlatokat, köztes terveket és a végső kollekciót.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Értékelés módja: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szemeszter végén vetített prezentáció és szóbeli előadás keretében online videó konferencia formájában mutatja be a félév során elért eredményeit, megvalósított és kivitelezett munkáit.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Az értékelés szempontjai:</w:t>
            </w:r>
          </w:p>
          <w:p w:rsidR="00000000" w:rsidDel="00000000" w:rsidP="00000000" w:rsidRDefault="00000000" w:rsidRPr="00000000" w14:paraId="00000086">
            <w:pPr>
              <w:spacing w:line="360" w:lineRule="auto"/>
              <w:ind w:left="1080" w:hanging="360"/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A feladat megoldása eredeti-e és milyen mértékben felel meg a feladatkiírásnak?</w:t>
            </w:r>
          </w:p>
          <w:p w:rsidR="00000000" w:rsidDel="00000000" w:rsidP="00000000" w:rsidRDefault="00000000" w:rsidRPr="00000000" w14:paraId="00000087">
            <w:pPr>
              <w:spacing w:line="360" w:lineRule="auto"/>
              <w:ind w:left="1080" w:hanging="360"/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A témához alkalmazott tervezési módszer milyensége?</w:t>
            </w:r>
          </w:p>
          <w:p w:rsidR="00000000" w:rsidDel="00000000" w:rsidP="00000000" w:rsidRDefault="00000000" w:rsidRPr="00000000" w14:paraId="00000088">
            <w:pPr>
              <w:spacing w:line="360" w:lineRule="auto"/>
              <w:ind w:left="1080" w:hanging="360"/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A feladat kidolgozásának mélysége és részletessége, eléri-e az elvárható szintet?</w:t>
            </w:r>
          </w:p>
          <w:p w:rsidR="00000000" w:rsidDel="00000000" w:rsidP="00000000" w:rsidRDefault="00000000" w:rsidRPr="00000000" w14:paraId="00000089">
            <w:pPr>
              <w:spacing w:line="360" w:lineRule="auto"/>
              <w:ind w:left="1080" w:hanging="360"/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A tervező mennyire ismeri a téma hazai és nemzetközi vonatkozásait?</w:t>
            </w:r>
          </w:p>
          <w:p w:rsidR="00000000" w:rsidDel="00000000" w:rsidP="00000000" w:rsidRDefault="00000000" w:rsidRPr="00000000" w14:paraId="0000008A">
            <w:pPr>
              <w:spacing w:line="360" w:lineRule="auto"/>
              <w:ind w:left="1080" w:hanging="360"/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A tervezési stúdium összképe – leírás és ábrák, tervlapok stb. – megfelelőek-e?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Kreativitás, egyéni megoldások, egyediség (40%) 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Technika adekvát kreatív használata (40%) 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Saját munka bemutatása (20%) 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Érdemjegyek: 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91-100%: jeles 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76-90%: jó 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61-75%: közepes 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51-65%: elégséges 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50% -: elégtelen 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Kötelező/ajánlott irodalom: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1./ TEXTILES: THE ART OF MANDKIND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by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Mary Schoeser 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| Dec 15, 2012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2./ THE COMPLETE PATTERN DIRECTORY: 1500 DESIGNS FROM ALL AGES AND CULTURES HARDCOVERS – 6. November 2018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By Elisabeth Wilhide (autor)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3./ EMBROIDERED TEXTILES: A WORLD GUIDE TO TRADITIONAL PATTERNS PAPERBACK – 15. November 2010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By Sheila Paine (autor)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4./ TEXTILE DESIGNS: 200 YEARS OF PATTERNS FOR PRINTED FABRICS ARRANGED BY MOTIF, COLOUR, PERIOD, AND DESIGN  - 7. October, 1991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By Susan Meller, Joost Elffers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5./ V and A PATTERN: WILLIAM MORRIS – 1. September 2009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By Linda Parry (autor)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ind w:left="8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Egyéb információk: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Egyéb információk: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konzultációhoz online környezet, internet elérhetőség, számítógép, laptop szükséges minden résztvevőnek.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BF">
            <w:pPr>
              <w:numPr>
                <w:ilvl w:val="1"/>
                <w:numId w:val="4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C0">
            <w:pPr>
              <w:numPr>
                <w:ilvl w:val="1"/>
                <w:numId w:val="4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C1">
            <w:pPr>
              <w:numPr>
                <w:ilvl w:val="1"/>
                <w:numId w:val="4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C2">
            <w:pPr>
              <w:numPr>
                <w:ilvl w:val="1"/>
                <w:numId w:val="4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ind w:left="1056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Tanórán kívüli konzultációs időpontok és helyszín: </w:t>
            </w:r>
          </w:p>
        </w:tc>
      </w:tr>
    </w:tbl>
    <w:p w:rsidR="00000000" w:rsidDel="00000000" w:rsidP="00000000" w:rsidRDefault="00000000" w:rsidRPr="00000000" w14:paraId="000000CD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mazon.com/Mary-Schoeser/e/B001IO9N3C?ref=sr_ntt_srch_lnk_1&amp;qid=1558284345&amp;sr=8-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jbt9eJ2e1RX5T60HU4k5G7njw==">AMUW2mXvYud0LmL9vUOY8PM0wGMc3v5BxPgXjb3Gv79SV7XWSAAdmgNa56jIYGD6v6v53KFCL1IWBAOhd9yI1vUKO8zHArIM3fmYc8zwyRYtF9TztXU/Tw3KaAZVmtNFyWgWbO7fNqVY28UKwL0ww3hxtIeS9D3va/5HOZjJEn1rzEKbu2WPQPnIJhSQqavUWDmdNa7N9Ql+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