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60" w:before="240" w:line="240" w:lineRule="auto"/>
        <w:rPr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60" w:before="24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 Tárgyalkotó tervezés 3 - FÉMMŰVESSÉG  “</w:t>
            </w:r>
            <w:r w:rsidDel="00000000" w:rsidR="00000000" w:rsidRPr="00000000">
              <w:rPr>
                <w:i w:val="1"/>
                <w:rtl w:val="0"/>
              </w:rPr>
              <w:t xml:space="preserve">Átlátszó és átlátszatlan”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Ádám Krisztián 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aadaam@g.mome.hu</w:t>
              </w:r>
            </w:hyperlink>
            <w:r w:rsidDel="00000000" w:rsidR="00000000" w:rsidRPr="00000000">
              <w:rPr>
                <w:rtl w:val="0"/>
              </w:rPr>
              <w:t xml:space="preserve"> ;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aadaam@mome.hu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highlight w:val="cyan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B-TA-202-FEM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TÁRGYALKOTÓ BA2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 a teljes tantárgy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 288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D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B-DS-101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párhuzamos kurzusok: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B-TA-202-SZAKELMELET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B-TA-202-FEM-SZAKELM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Tárgyalkotó tervezés  tantárgy célja a kortárs tervezői szemlélet oktatása és a tradicionális, innovatív kézműves tudások átadatása. A fém és ékszertervezés , kerámiatervezés , üvegtervezés és digitális tárgyalkotás területén biztosít szakmai alapozást bevezető tervezésmódszertani és technológiai alapstúdiumokon keresztül. </w:t>
            </w:r>
            <w:r w:rsidDel="00000000" w:rsidR="00000000" w:rsidRPr="00000000">
              <w:rPr>
                <w:i w:val="1"/>
                <w:rtl w:val="0"/>
              </w:rPr>
              <w:t xml:space="preserve">“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(B-TA-202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“1) Ismeri a  fém és ékszertervezés, kerámiatervezés, üvegtervezés vagy digitális tárgyalkotás  területén használt tervezés módszertani alapjait.</w:t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Ismeri a a  fém és ékszertervezés, kerámiatervezés, üvegtervezés vagy digitális tárgyalkotás alapvető ötletfejlesztési, értékelési és szelekciós módszereit.</w:t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Ismeri a   fém és ékszertervezés, kerámiatervezés, üvegtervezés vagy digitális tárgyalkotás során alkalmazott legfontosabb prezentációs lehetőségeket, eszközöket</w:t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Tisztában van a forráshasználat formáival és etikai szabályaival. ”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(B-TA-202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“1) Képes a  fém és ékszertervezés, kerámiatervezés, üvegtervezés vagy digitális tárgyalkotás gyakorlása során tudatos és kreatív munkát végezni, szakmai problémákat azonosít és old meg a tervezés és kivitelezés során.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Képes általános ötletfejlesztési elveket adaptálni tárgyalkotó-specifikus problémák megoldására.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Képes kommunikálni mások és saját tervezői koncepcióiról, megoldásairól és folyamatairól társaival, szakmája szakembereivel.  ”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(B-TA-202 tantárgy leírása)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Nyitott az új ismeretekre, módszerekre, kreatív, dinamikus megvalósítási lehetőségekre. 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Törekszik a párbeszédre, bírálatok, vélemények elfogadására.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Motivált szakirodalom releváns tartalmainak felkutatására és rendszerezésére.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(B-TA-202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Adott tervezési keretrendszerben önállóan halad.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(B-TA-202 tantárgy leírása)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Ékszertervezési stúdium az anyagtársítás, a megfogás, az alternatív drágakőfoglalás témakörben. Munkacím: Átlátszó és átlátszatlan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Az ékszer területén a drágakő fogalmának és klasszikus megoldásainak feltérképezése és újszerű, alternatív, korszerű megoldások keresése az adott problémára.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1-3 hét - általános feltérképezés,, ékszer történeti áttekintés, sajátos megoldások keresése, ötletek vizuális megjelenítése, koncepcióalkotás,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4-8 hét - koncepciók modellezése, anyag és formai kísérletek elvégzése, részmegoldások pontosítása, az ékszer koncepciók tárgyban való kialakításának folyamata, az emberi testtel való viszony elemzése és vizsgálata,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9-12 hét - a tervezési program zárása - ékszerek kivitelezése, dokumentációs és prezentációs anyagok készítése, csoporton belüli zárt értékelés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 esetén akár a tanári közreműködés megosztását is jelezve: heti konzultációs időpontok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 részvétel a heti konzultációs időpontokon, önálló és elmélyült kutató és műhelymunka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 tanterem, stúdió, műterem, külső helyszín, online, vállalati gyakorlat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részjegy - koncepció és megjelenítés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részjegy - tárgy kivitelezése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részjegy - dokumentációs anyag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részjegy - prezentáció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 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-a koncepciót bemutató dokumentációs anyagok bemutatása,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-a modellezést és kivitelezést bemutató dokumentációs anyagok bemutatása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kész ékszerek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záró prezentáció bemutatása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szóbeli értékelés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témakör megfelelő feldolgozása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koncepcióalkotás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szakszerűség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korszerűség és innováció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dokumentációs anyagok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vizuális megjelenés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órai és műtermi aktivitás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prezentáció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10% témakör feldolgozása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20% koncepcióalkotás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15% modellezési folyamatok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15% kiviteli minőség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10% dokumentációs anyagok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15% ábrázolás és vizualitás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15% prezentáció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 a kurzus a B-TA-202 tantárgy része, melyet az alábbi kurzusokkal együtt alkot: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B-TA-202-SZAKELMELET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B-TA-202-FEM-SZAKELM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B-TA-202-FEM, Tervezés kurzus  jegye duplán számít és a fenti kurzusok jegyeit ezzel együtt átlagoljuk, majd a kerekítés általános szabályait alkalmazzuk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A3">
            <w:pPr>
              <w:numPr>
                <w:ilvl w:val="1"/>
                <w:numId w:val="4"/>
              </w:numPr>
              <w:spacing w:after="0"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A4">
            <w:pPr>
              <w:numPr>
                <w:ilvl w:val="1"/>
                <w:numId w:val="4"/>
              </w:numPr>
              <w:spacing w:after="0"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A5">
            <w:pPr>
              <w:numPr>
                <w:ilvl w:val="1"/>
                <w:numId w:val="4"/>
              </w:numPr>
              <w:spacing w:after="0"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A6">
            <w:pPr>
              <w:numPr>
                <w:ilvl w:val="1"/>
                <w:numId w:val="4"/>
              </w:numPr>
              <w:spacing w:after="0"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1056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adaam@g.mome.hu" TargetMode="External"/><Relationship Id="rId8" Type="http://schemas.openxmlformats.org/officeDocument/2006/relationships/hyperlink" Target="mailto:aadaam@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BwB5uVei+bhiDTuvgjhmkUQ0RA==">AMUW2mVeF8x8ZPeYZodKUu2/DrSBviV9OM8dkcEaEkmFAGEBtRUf8fsqRdeCPXL8hKF8KrSqnchmxACkSajkn5A9PzMpYMsltLJLNzxTkOdx0oSKstd7eXJJyx43HJSX4BQCmxR56FdVkeQgwuRPN3F1DBZ+HchmwbtPsDxQuzT7NjO2B9+nljY=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