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8A" w:rsidRDefault="00ED168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bookmarkStart w:id="0" w:name="_heading=h.gjdgxs" w:colFirst="0" w:colLast="0"/>
      <w:bookmarkEnd w:id="0"/>
    </w:p>
    <w:p w:rsidR="00ED168A" w:rsidRDefault="009F33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Kurzusleírás (tematika)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165"/>
        <w:gridCol w:w="4224"/>
        <w:gridCol w:w="1415"/>
        <w:gridCol w:w="942"/>
        <w:gridCol w:w="1326"/>
      </w:tblGrid>
      <w:tr w:rsidR="00ED168A">
        <w:trPr>
          <w:trHeight w:val="567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>Kurzus neve:  Tárgyalkotó tervezés - SZAKELMÉLET</w:t>
            </w:r>
          </w:p>
        </w:tc>
      </w:tr>
      <w:tr w:rsidR="00ED168A">
        <w:trPr>
          <w:trHeight w:val="567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A kurzus oktatója/i, elérhetősége(i):</w:t>
            </w:r>
          </w:p>
          <w:p w:rsidR="00ED168A" w:rsidRDefault="009F33E8">
            <w:pPr>
              <w:spacing w:after="0" w:line="240" w:lineRule="auto"/>
            </w:pPr>
            <w:r>
              <w:t>Dezső Renáta: dezso.renata@mome.hu</w:t>
            </w:r>
          </w:p>
        </w:tc>
      </w:tr>
      <w:tr w:rsidR="00ED168A">
        <w:trPr>
          <w:trHeight w:val="705"/>
        </w:trPr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Kód:</w:t>
            </w:r>
          </w:p>
          <w:p w:rsidR="00ED168A" w:rsidRDefault="009F33E8">
            <w:pPr>
              <w:spacing w:after="0" w:line="240" w:lineRule="auto"/>
            </w:pPr>
            <w:r w:rsidRPr="009F33E8">
              <w:rPr>
                <w:rFonts w:ascii="Roboto" w:eastAsia="Roboto" w:hAnsi="Roboto" w:cs="Roboto"/>
                <w:sz w:val="20"/>
                <w:szCs w:val="20"/>
              </w:rPr>
              <w:t>B-TA-202-DIGITALIS-TA-SZAKELM</w:t>
            </w:r>
            <w:bookmarkStart w:id="3" w:name="_GoBack"/>
            <w:bookmarkEnd w:id="3"/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 xml:space="preserve">Kapcsolódó tanterv (szak/szint): </w:t>
            </w:r>
          </w:p>
          <w:p w:rsidR="00ED168A" w:rsidRDefault="009F33E8">
            <w:pPr>
              <w:spacing w:after="0" w:line="240" w:lineRule="auto"/>
            </w:pPr>
            <w:r>
              <w:t>TÁRGYALKOTÓ BA1</w:t>
            </w:r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 xml:space="preserve">A tantárgy helye a tantervben (szemeszter): </w:t>
            </w:r>
          </w:p>
          <w:p w:rsidR="00ED168A" w:rsidRDefault="009F33E8">
            <w:pPr>
              <w:spacing w:after="0" w:line="240" w:lineRule="auto"/>
            </w:pPr>
            <w:r>
              <w:t>tavaszi szemeszter</w:t>
            </w:r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Kredit:</w:t>
            </w:r>
          </w:p>
          <w:p w:rsidR="00ED168A" w:rsidRDefault="009F33E8">
            <w:pPr>
              <w:spacing w:after="0" w:line="240" w:lineRule="auto"/>
            </w:pPr>
            <w:r>
              <w:t>10 kredit a teljes tantárgy</w:t>
            </w:r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Tanóraszám:</w:t>
            </w:r>
          </w:p>
          <w:p w:rsidR="00ED168A" w:rsidRDefault="009F33E8">
            <w:pPr>
              <w:spacing w:after="0" w:line="240" w:lineRule="auto"/>
            </w:pPr>
            <w:r>
              <w:t>Egyéni hallgatói munkaóra:</w:t>
            </w:r>
          </w:p>
        </w:tc>
      </w:tr>
      <w:tr w:rsidR="00ED168A">
        <w:trPr>
          <w:trHeight w:val="705"/>
        </w:trPr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Típus: (szeminárium/</w:t>
            </w:r>
            <w:r>
              <w:rPr>
                <w:u w:val="single"/>
              </w:rPr>
              <w:t>előadás</w:t>
            </w:r>
            <w:r>
              <w:t>/gyakorlat/konzultáció stb.)</w:t>
            </w:r>
          </w:p>
        </w:tc>
        <w:tc>
          <w:tcPr>
            <w:tcW w:w="0" w:type="auto"/>
          </w:tcPr>
          <w:p w:rsidR="00ED168A" w:rsidRDefault="009F33E8">
            <w:pPr>
              <w:spacing w:after="0" w:line="240" w:lineRule="auto"/>
            </w:pPr>
            <w:r>
              <w:t>Szab.vál-ként felvehető-e?</w:t>
            </w:r>
          </w:p>
        </w:tc>
        <w:tc>
          <w:tcPr>
            <w:tcW w:w="0" w:type="auto"/>
            <w:gridSpan w:val="2"/>
          </w:tcPr>
          <w:p w:rsidR="00ED168A" w:rsidRDefault="009F33E8">
            <w:pPr>
              <w:spacing w:after="0" w:line="240" w:lineRule="auto"/>
            </w:pPr>
            <w:r>
              <w:t xml:space="preserve">Szab.vál. esetén </w:t>
            </w:r>
            <w:r>
              <w:t>sajátos előfeltételek:</w:t>
            </w:r>
          </w:p>
          <w:p w:rsidR="00ED168A" w:rsidRDefault="00ED168A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ED168A">
        <w:trPr>
          <w:trHeight w:val="705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t>A kurzus kapcsolatai (előfeltételek, párhuzamosságok):</w:t>
            </w:r>
          </w:p>
          <w:p w:rsidR="00ED168A" w:rsidRDefault="009F33E8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előfeltétel: 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B-DS-101</w:t>
            </w:r>
          </w:p>
          <w:p w:rsidR="00ED168A" w:rsidRDefault="009F33E8">
            <w:pPr>
              <w:numPr>
                <w:ilvl w:val="0"/>
                <w:numId w:val="4"/>
              </w:numPr>
              <w:spacing w:after="0" w:line="240" w:lineRule="auto"/>
            </w:pPr>
            <w:r>
              <w:t>párhuzamos kurzusok (a hallgató specializációja szerint)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B-TA-202-FEM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B-TA-202-FEM-SZAKELM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vagy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B-TA-202-UVEG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B-TA-202-UVEG-SZAKELM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vagy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B-TA-202-KERAMIA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B-TA-202-KERAMIA-SZAKELM</w:t>
            </w:r>
          </w:p>
        </w:tc>
      </w:tr>
      <w:tr w:rsidR="00ED168A">
        <w:trPr>
          <w:trHeight w:val="903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t xml:space="preserve">A kurzus célja és alapelvei: </w:t>
            </w:r>
          </w:p>
          <w:p w:rsidR="00ED168A" w:rsidRDefault="009F33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>A Tárgyalkotó tervezés  tantárgy célja a kortárs tervezői szemlélet oktatása és a tradicionális, innovatív kézműves tudások átadatása. A fém és ékszertervezés , kerámiatervezés , üvegtervezés és dig</w:t>
            </w:r>
            <w:r>
              <w:rPr>
                <w:i/>
                <w:sz w:val="23"/>
                <w:szCs w:val="23"/>
                <w:highlight w:val="white"/>
              </w:rPr>
              <w:t xml:space="preserve">itális tárgyalkotás területén biztosít szakmai alapozást bevezető tervezésmódszertani és technológiai alapstúdiumokon keresztül. </w:t>
            </w:r>
            <w:r>
              <w:rPr>
                <w:i/>
              </w:rPr>
              <w:t>“</w:t>
            </w:r>
          </w:p>
          <w:p w:rsidR="00ED168A" w:rsidRDefault="009F33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(B-TA-202 tantárgy leírása)</w:t>
            </w:r>
          </w:p>
        </w:tc>
      </w:tr>
      <w:tr w:rsidR="00ED168A">
        <w:trPr>
          <w:trHeight w:val="2499"/>
        </w:trPr>
        <w:tc>
          <w:tcPr>
            <w:tcW w:w="0" w:type="auto"/>
            <w:gridSpan w:val="5"/>
            <w:tcBorders>
              <w:bottom w:val="single" w:sz="4" w:space="0" w:color="000000"/>
            </w:tcBorders>
          </w:tcPr>
          <w:p w:rsidR="00ED168A" w:rsidRDefault="009F33E8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“1) Ismeri a  fém</w:t>
            </w:r>
            <w:r>
              <w:rPr>
                <w:i/>
                <w:sz w:val="23"/>
                <w:szCs w:val="23"/>
                <w:highlight w:val="white"/>
              </w:rPr>
              <w:t xml:space="preserve"> és ékszertervezés, kerámiatervezés, üvegtervezés vagy digitális tárgyalkotás  területén használt tervezés módszertani alapjait.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 Ismeri a a  fém és ékszertervezés, kerámiatervezés, üvegtervezés vagy digitális tárgyalkotás alapvető ötletfejlesztési, érté</w:t>
            </w:r>
            <w:r>
              <w:rPr>
                <w:i/>
                <w:sz w:val="23"/>
                <w:szCs w:val="23"/>
                <w:highlight w:val="white"/>
              </w:rPr>
              <w:t>kelési és szelekciós módszereit.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3) Ismeri a   fém és ékszertervezés, kerámiatervezés, üvegtervezés vagy digitális tárgyalkotás során alkalmazott legfontosabb prezentációs lehetőségeket, eszközöket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4) Tisztában van a forráshasználat formáival és etikai sza</w:t>
            </w:r>
            <w:r>
              <w:rPr>
                <w:i/>
                <w:sz w:val="23"/>
                <w:szCs w:val="23"/>
                <w:highlight w:val="white"/>
              </w:rPr>
              <w:t>bályaival. ”</w:t>
            </w:r>
          </w:p>
          <w:p w:rsidR="00ED168A" w:rsidRDefault="009F33E8">
            <w:pPr>
              <w:spacing w:after="0" w:line="240" w:lineRule="auto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</w:rPr>
              <w:t>(B-TA-202 tantárgy leírása)</w:t>
            </w:r>
          </w:p>
          <w:p w:rsidR="00ED168A" w:rsidRDefault="00ED16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“1) Képes a  fém és ékszertervezés, kerámiatervezés, üvegtervezés vagy digitális tárgyalkotás gyakorlása során tudatos és kreatív munkát végezni, szakmai problémákat azonosít és old meg a tervezés és kiv</w:t>
            </w:r>
            <w:r>
              <w:rPr>
                <w:i/>
                <w:sz w:val="23"/>
                <w:szCs w:val="23"/>
                <w:highlight w:val="white"/>
              </w:rPr>
              <w:t>itelezés során.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lastRenderedPageBreak/>
              <w:t>2) Képes általános ötletfejlesztési elveket adaptálni tárgyalkotó-specifikus problémák megoldására.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3) Képes kommunikálni mások és saját tervezői koncepcióiról, megoldásairól és folyamatairól társaival, szakmája szakembereivel.  ”</w:t>
            </w:r>
          </w:p>
          <w:p w:rsidR="00ED168A" w:rsidRDefault="009F33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(B-TA-202</w:t>
            </w:r>
            <w:r>
              <w:rPr>
                <w:i/>
              </w:rPr>
              <w:t xml:space="preserve"> tantárgy leírása)</w:t>
            </w:r>
          </w:p>
          <w:p w:rsidR="00ED168A" w:rsidRDefault="00ED168A">
            <w:pPr>
              <w:spacing w:after="0" w:line="240" w:lineRule="auto"/>
              <w:rPr>
                <w:i/>
              </w:rPr>
            </w:pP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highlight w:val="white"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 xml:space="preserve">1) Nyitott az új ismeretekre, módszerekre, kreatív, dinamikus megvalósítási lehetőségekre. 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 Törekszik a párbeszédre, bírálatok, vélemények elfogadására.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3) Motivált szakirodalom releváns tartalmainak felkutatására és rends</w:t>
            </w:r>
            <w:r>
              <w:rPr>
                <w:i/>
                <w:sz w:val="23"/>
                <w:szCs w:val="23"/>
                <w:highlight w:val="white"/>
              </w:rPr>
              <w:t>zerezésére.</w:t>
            </w:r>
            <w:r>
              <w:rPr>
                <w:i/>
                <w:highlight w:val="white"/>
              </w:rPr>
              <w:t>”</w:t>
            </w:r>
          </w:p>
          <w:p w:rsidR="00ED168A" w:rsidRDefault="009F33E8">
            <w:pPr>
              <w:spacing w:after="0" w:line="240" w:lineRule="auto"/>
              <w:rPr>
                <w:i/>
                <w:highlight w:val="white"/>
              </w:rPr>
            </w:pPr>
            <w:r>
              <w:rPr>
                <w:i/>
              </w:rPr>
              <w:t>(B-TA-202 tantárgy leírása)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</w:rPr>
            </w:pPr>
            <w:r>
              <w:rPr>
                <w:i/>
                <w:highlight w:val="white"/>
              </w:rPr>
              <w:t xml:space="preserve"> 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</w:rPr>
            </w:pPr>
            <w:r>
              <w:rPr>
                <w:i/>
                <w:highlight w:val="white"/>
              </w:rPr>
              <w:t>“</w:t>
            </w:r>
            <w:r>
              <w:rPr>
                <w:i/>
                <w:sz w:val="23"/>
                <w:szCs w:val="23"/>
                <w:highlight w:val="white"/>
              </w:rPr>
              <w:t>1) Adott tervezési keretrendszerben önállóan halad.</w:t>
            </w:r>
            <w:r>
              <w:rPr>
                <w:i/>
                <w:highlight w:val="white"/>
              </w:rPr>
              <w:t>”</w:t>
            </w:r>
          </w:p>
          <w:p w:rsidR="00ED168A" w:rsidRDefault="009F33E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rPr>
                <w:i/>
              </w:rPr>
              <w:t>(B-TA-202 tantárgy leírása)</w:t>
            </w:r>
            <w:r>
              <w:tab/>
            </w:r>
          </w:p>
          <w:p w:rsidR="00ED168A" w:rsidRDefault="00ED168A">
            <w:pPr>
              <w:spacing w:after="0" w:line="240" w:lineRule="auto"/>
            </w:pPr>
          </w:p>
        </w:tc>
      </w:tr>
      <w:tr w:rsidR="00ED168A">
        <w:trPr>
          <w:trHeight w:val="806"/>
        </w:trPr>
        <w:tc>
          <w:tcPr>
            <w:tcW w:w="0" w:type="auto"/>
            <w:gridSpan w:val="5"/>
            <w:tcBorders>
              <w:top w:val="single" w:sz="4" w:space="0" w:color="000000"/>
            </w:tcBorders>
          </w:tcPr>
          <w:p w:rsidR="00ED168A" w:rsidRDefault="009F33E8">
            <w:pPr>
              <w:spacing w:after="0" w:line="240" w:lineRule="auto"/>
            </w:pPr>
            <w:r>
              <w:lastRenderedPageBreak/>
              <w:t xml:space="preserve">A kurzus keretében feldolgozandó témakörök, témák: 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t xml:space="preserve">Digitális tárgyalkotás egyes területeinek vizsgálata: </w:t>
            </w:r>
          </w:p>
          <w:p w:rsidR="00ED168A" w:rsidRDefault="009F33E8">
            <w:pPr>
              <w:spacing w:after="0" w:line="240" w:lineRule="auto"/>
            </w:pPr>
            <w:r>
              <w:t>- technikai képességek fejlesztése</w:t>
            </w:r>
          </w:p>
          <w:p w:rsidR="00ED168A" w:rsidRDefault="009F33E8">
            <w:pPr>
              <w:spacing w:after="0" w:line="240" w:lineRule="auto"/>
            </w:pPr>
            <w:r>
              <w:t>- Sennett, R. (2008). The Craftsman c. könyvének feldolgozása</w:t>
            </w:r>
          </w:p>
          <w:p w:rsidR="00ED168A" w:rsidRDefault="009F33E8">
            <w:pPr>
              <w:spacing w:after="0" w:line="240" w:lineRule="auto"/>
            </w:pPr>
            <w:r>
              <w:t>- plagiarizmus</w:t>
            </w:r>
          </w:p>
          <w:p w:rsidR="00ED168A" w:rsidRDefault="009F33E8">
            <w:pPr>
              <w:spacing w:after="0" w:line="240" w:lineRule="auto"/>
            </w:pPr>
            <w:r>
              <w:t>- Biodesign digitális szempontokból - Blaumann Edit meghívott előadóval</w:t>
            </w:r>
          </w:p>
          <w:p w:rsidR="00ED168A" w:rsidRDefault="009F33E8">
            <w:pPr>
              <w:spacing w:after="0" w:line="240" w:lineRule="auto"/>
            </w:pPr>
            <w:r>
              <w:t>- Robotika alapké</w:t>
            </w:r>
            <w:r>
              <w:t>rdései - Mori teória, mozgások, domestic design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ED168A">
            <w:pPr>
              <w:spacing w:after="0" w:line="240" w:lineRule="auto"/>
            </w:pPr>
          </w:p>
        </w:tc>
      </w:tr>
      <w:tr w:rsidR="00ED168A">
        <w:trPr>
          <w:trHeight w:val="675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ED168A" w:rsidRDefault="009F33E8">
            <w:pPr>
              <w:spacing w:after="0" w:line="240" w:lineRule="auto"/>
              <w:ind w:left="134" w:hanging="134"/>
            </w:pPr>
            <w:bookmarkStart w:id="4" w:name="_heading=h.3znysh7" w:colFirst="0" w:colLast="0"/>
            <w:bookmarkEnd w:id="4"/>
            <w:r>
              <w:t>A kurzus menete, az egyes foglalkozások jellege és ütemezésük (több tanár esetén akár a tanári közreműködés megosztását is jelezve:</w:t>
            </w:r>
          </w:p>
          <w:p w:rsidR="00ED168A" w:rsidRDefault="00ED168A">
            <w:pPr>
              <w:spacing w:after="0" w:line="240" w:lineRule="auto"/>
              <w:ind w:left="134" w:hanging="134"/>
            </w:pPr>
          </w:p>
          <w:p w:rsidR="00ED168A" w:rsidRDefault="009F33E8">
            <w:pPr>
              <w:spacing w:after="0" w:line="240" w:lineRule="auto"/>
            </w:pPr>
            <w:r>
              <w:t>A kurzus elősorban elő</w:t>
            </w:r>
            <w:r>
              <w:t xml:space="preserve">adás formátumú. 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t>A hallgatók tennivalói, feladatai: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t xml:space="preserve">Előadások meghallgatása, kérdések és reflexiók prezentálása. Az előadások alatt a jegyzetelés kiemelten fontos. </w:t>
            </w:r>
          </w:p>
          <w:p w:rsidR="00ED168A" w:rsidRDefault="009F33E8">
            <w:pPr>
              <w:spacing w:after="0" w:line="240" w:lineRule="auto"/>
            </w:pPr>
            <w:r>
              <w:t xml:space="preserve">A tanulás környezete: (pl. tanterem, stúdió, műterem, külső helyszín, online, vállalati </w:t>
            </w:r>
            <w:r>
              <w:t>gyakorlat stb.)</w:t>
            </w:r>
          </w:p>
          <w:p w:rsidR="00ED168A" w:rsidRDefault="009F33E8">
            <w:pPr>
              <w:spacing w:after="0" w:line="240" w:lineRule="auto"/>
            </w:pPr>
            <w:r>
              <w:t>tanterem</w:t>
            </w:r>
          </w:p>
          <w:p w:rsidR="00ED168A" w:rsidRDefault="00ED168A">
            <w:pPr>
              <w:spacing w:after="0" w:line="240" w:lineRule="auto"/>
            </w:pPr>
          </w:p>
        </w:tc>
      </w:tr>
      <w:tr w:rsidR="00ED168A">
        <w:trPr>
          <w:trHeight w:val="653"/>
        </w:trPr>
        <w:tc>
          <w:tcPr>
            <w:tcW w:w="0" w:type="auto"/>
            <w:gridSpan w:val="5"/>
            <w:tcBorders>
              <w:bottom w:val="single" w:sz="4" w:space="0" w:color="000000"/>
            </w:tcBorders>
          </w:tcPr>
          <w:p w:rsidR="00ED168A" w:rsidRDefault="009F33E8">
            <w:pPr>
              <w:spacing w:after="0" w:line="240" w:lineRule="auto"/>
            </w:pPr>
            <w:r>
              <w:t>Értékelés:</w:t>
            </w:r>
          </w:p>
          <w:p w:rsidR="00ED168A" w:rsidRDefault="009F33E8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ED168A" w:rsidRDefault="009F33E8">
            <w:pPr>
              <w:spacing w:after="0" w:line="240" w:lineRule="auto"/>
            </w:pPr>
            <w:r>
              <w:t xml:space="preserve">Dezső Renáta összesítő értékelése egyeztetve az előadókkal. </w:t>
            </w:r>
          </w:p>
          <w:p w:rsidR="00ED168A" w:rsidRDefault="009F33E8">
            <w:pPr>
              <w:spacing w:after="0" w:line="240" w:lineRule="auto"/>
            </w:pPr>
            <w:r>
              <w:t xml:space="preserve">   Teljesítendő követelmények:</w:t>
            </w:r>
          </w:p>
          <w:p w:rsidR="00ED168A" w:rsidRDefault="009F33E8">
            <w:pPr>
              <w:spacing w:after="0" w:line="240" w:lineRule="auto"/>
            </w:pPr>
            <w:r>
              <w:t xml:space="preserve">Rövid esszé írása a kiadott témában. </w:t>
            </w:r>
          </w:p>
          <w:p w:rsidR="00ED168A" w:rsidRDefault="009F33E8">
            <w:pPr>
              <w:spacing w:after="0" w:line="240" w:lineRule="auto"/>
              <w:ind w:left="276"/>
            </w:pPr>
            <w:r>
              <w:t xml:space="preserve">Értékelés </w:t>
            </w:r>
            <w:r>
              <w:t>módja: (milyen módszerekkel zajlik az értékelés {teszt, szóbeli felelet, gyakorlati demonstráció stb.})</w:t>
            </w:r>
          </w:p>
          <w:p w:rsidR="00ED168A" w:rsidRDefault="009F33E8">
            <w:pPr>
              <w:spacing w:after="0" w:line="240" w:lineRule="auto"/>
              <w:ind w:left="276"/>
            </w:pPr>
            <w:r>
              <w:t xml:space="preserve">Beadott írott tanulmány alapján. </w:t>
            </w:r>
          </w:p>
          <w:p w:rsidR="00ED168A" w:rsidRDefault="009F33E8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ED168A" w:rsidRDefault="009F33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Jelenlét: 40%, Írásbeli feladat teljesí</w:t>
            </w:r>
            <w:r>
              <w:rPr>
                <w:b/>
              </w:rPr>
              <w:t>tése: 40%, szakirodalmi ismeretek 20%</w:t>
            </w:r>
          </w:p>
        </w:tc>
      </w:tr>
      <w:tr w:rsidR="00ED168A">
        <w:trPr>
          <w:trHeight w:val="653"/>
        </w:trPr>
        <w:tc>
          <w:tcPr>
            <w:tcW w:w="0" w:type="auto"/>
            <w:gridSpan w:val="5"/>
            <w:tcBorders>
              <w:bottom w:val="single" w:sz="4" w:space="0" w:color="000000"/>
            </w:tcBorders>
          </w:tcPr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  <w:ind w:left="276"/>
            </w:pPr>
            <w:r>
              <w:lastRenderedPageBreak/>
              <w:t xml:space="preserve">Az érdemjegy kiszámítása (az egyes értékelt követelmények eredménye hogyan jelenik meg a végső érdemjegyben? {pl. arányok, pontok, súlyok}):  Az osztályzatok a teljesítés alapján 91-100%: jeles, 81-90%: jó, 71-80%: </w:t>
            </w:r>
            <w:r>
              <w:t>közepes, 61-70%: elégséges, 0-60%: elégtelen.</w:t>
            </w:r>
          </w:p>
          <w:p w:rsidR="00ED168A" w:rsidRDefault="00ED168A">
            <w:pPr>
              <w:spacing w:after="0" w:line="240" w:lineRule="auto"/>
              <w:ind w:left="276"/>
            </w:pP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t>Ez a kurzus a B-TA-202 tantárgy része, melyet az alábbi kurzusokkal együtt alkot, a hallgató specializációja szerint:</w:t>
            </w:r>
          </w:p>
          <w:p w:rsidR="00ED168A" w:rsidRDefault="009F33E8">
            <w:pPr>
              <w:numPr>
                <w:ilvl w:val="0"/>
                <w:numId w:val="2"/>
              </w:numPr>
              <w:spacing w:after="0" w:line="240" w:lineRule="auto"/>
            </w:pPr>
            <w:r>
              <w:t>B-TA-202-FEM</w:t>
            </w:r>
          </w:p>
          <w:p w:rsidR="00ED168A" w:rsidRDefault="009F33E8">
            <w:pPr>
              <w:numPr>
                <w:ilvl w:val="0"/>
                <w:numId w:val="2"/>
              </w:numPr>
              <w:spacing w:after="0" w:line="240" w:lineRule="auto"/>
            </w:pPr>
            <w:r>
              <w:t>B-TA-202-FEM-SZAKELM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vagy</w:t>
            </w:r>
          </w:p>
          <w:p w:rsidR="00ED168A" w:rsidRDefault="009F33E8">
            <w:pPr>
              <w:numPr>
                <w:ilvl w:val="0"/>
                <w:numId w:val="3"/>
              </w:numPr>
              <w:spacing w:after="0" w:line="240" w:lineRule="auto"/>
            </w:pPr>
            <w:r>
              <w:t>B-TA-202-UVEG</w:t>
            </w:r>
          </w:p>
          <w:p w:rsidR="00ED168A" w:rsidRDefault="009F33E8">
            <w:pPr>
              <w:numPr>
                <w:ilvl w:val="0"/>
                <w:numId w:val="3"/>
              </w:numPr>
              <w:spacing w:after="0" w:line="240" w:lineRule="auto"/>
            </w:pPr>
            <w:r>
              <w:t>B-TA-202-UVEG-SZAKELM</w:t>
            </w:r>
          </w:p>
          <w:p w:rsidR="00ED168A" w:rsidRDefault="009F33E8">
            <w:pPr>
              <w:spacing w:after="0" w:line="240" w:lineRule="auto"/>
              <w:ind w:left="1440"/>
            </w:pPr>
            <w:r>
              <w:t>vagy</w:t>
            </w:r>
          </w:p>
          <w:p w:rsidR="00ED168A" w:rsidRDefault="009F33E8">
            <w:pPr>
              <w:numPr>
                <w:ilvl w:val="0"/>
                <w:numId w:val="1"/>
              </w:numPr>
              <w:spacing w:after="0" w:line="240" w:lineRule="auto"/>
            </w:pPr>
            <w:r>
              <w:t>B-TA-202-K</w:t>
            </w:r>
            <w:r>
              <w:t>ERAMIA</w:t>
            </w:r>
          </w:p>
          <w:p w:rsidR="00ED168A" w:rsidRDefault="009F33E8">
            <w:pPr>
              <w:numPr>
                <w:ilvl w:val="0"/>
                <w:numId w:val="1"/>
              </w:numPr>
              <w:spacing w:after="0" w:line="240" w:lineRule="auto"/>
            </w:pPr>
            <w:r>
              <w:t>B-TA-202-KERAMIA-SZAKELM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 B-TA-202-FEM, B-TA-UVEG vagy B-TA-KERAMIA, Tervezés kurzus  jegye duplán számít és a két Szakelmélet kurzus jegyeit ezzel együtt átlagoljuk, majd a kerekítés általános szabályait alkalma</w:t>
            </w:r>
            <w:r>
              <w:t>zzuk</w:t>
            </w:r>
          </w:p>
          <w:p w:rsidR="00ED168A" w:rsidRDefault="00ED168A">
            <w:pPr>
              <w:spacing w:after="0" w:line="240" w:lineRule="auto"/>
            </w:pPr>
          </w:p>
        </w:tc>
      </w:tr>
      <w:tr w:rsidR="00ED168A">
        <w:trPr>
          <w:trHeight w:val="1351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lastRenderedPageBreak/>
              <w:t xml:space="preserve">Kötelező irodalom: </w:t>
            </w:r>
          </w:p>
          <w:p w:rsidR="00ED168A" w:rsidRDefault="009F33E8">
            <w:pPr>
              <w:spacing w:after="0" w:line="240" w:lineRule="auto"/>
            </w:pPr>
            <w:r>
              <w:t>Sennett, R. (2008). The Craftsman. Yale University Press.</w:t>
            </w:r>
          </w:p>
          <w:p w:rsidR="00ED168A" w:rsidRDefault="009F33E8">
            <w:pPr>
              <w:spacing w:after="0" w:line="240" w:lineRule="auto"/>
            </w:pPr>
            <w:r>
              <w:t xml:space="preserve">Race, R. (2014). Making Simple Automata eBook. The Crowood Press Ltd. </w:t>
            </w:r>
            <w:r>
              <w:t>https://www.amazon.co.uk/Making-Simple-Automata-Robert-Race-ebook/dp/B00JIE814Q/ref=pd_cp_351_1/259-9670858-4517308?_encoding=UTF8&amp;pd_rd_i=B00JIE814Q&amp;pd_rd_r=056ad15b-bf62-4567-821f-931409c6ec0a&amp;pd_rd_w=yZpND&amp;pd_rd_wg=OIiX3&amp;pf_rd_p=fda4174c-7f1c-4117-9d19-</w:t>
            </w:r>
            <w:r>
              <w:t>9826cafc072c&amp;pf_rd_r=WXX17M6XXYPVD0VZ6VN7&amp;psc=1&amp;refRID=WXX17M6XXYPVD0VZ6</w:t>
            </w:r>
          </w:p>
          <w:p w:rsidR="00ED168A" w:rsidRDefault="009F33E8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9F33E8">
            <w:pPr>
              <w:spacing w:after="0" w:line="240" w:lineRule="auto"/>
            </w:pPr>
            <w:r>
              <w:t>Goldsmith, K. (2014, January 2). It’s not plagiarism in the digital age – it’s repurposing</w:t>
            </w:r>
          </w:p>
          <w:p w:rsidR="00ED168A" w:rsidRDefault="009F33E8">
            <w:pPr>
              <w:spacing w:after="0" w:line="240" w:lineRule="auto"/>
            </w:pPr>
            <w:r>
              <w:t>Bradley, C. (2011). Plagiarism Education and Prevention: A Subject-Drive</w:t>
            </w:r>
            <w:r>
              <w:t>n Case-Based Approach (1st edition). Chandos Publishing.</w:t>
            </w:r>
          </w:p>
          <w:p w:rsidR="00ED168A" w:rsidRDefault="009F33E8">
            <w:pPr>
              <w:spacing w:after="0" w:line="240" w:lineRule="auto"/>
            </w:pPr>
            <w:r>
              <w:t>Dawson, M. M., &amp; Overfield, J. A. (2006). Plagiarism: Do Students Know What It Is? Bioscience Education, 8(1), 1–15. https://doi.org/10.3108/beej.8.1</w:t>
            </w:r>
          </w:p>
          <w:p w:rsidR="00ED168A" w:rsidRDefault="009F33E8">
            <w:pPr>
              <w:spacing w:after="0" w:line="240" w:lineRule="auto"/>
            </w:pPr>
            <w:r>
              <w:t>Autio, O. (2015). Traditional Craft or Technology</w:t>
            </w:r>
            <w:r>
              <w:t xml:space="preserve"> Education: Development of Students’ Technical Abilities in Finnish Comprehensive School. International Journal of Research in Education and Science, 2(1), 75. https://doi.org/10.21890/ijres.05918</w:t>
            </w:r>
          </w:p>
          <w:p w:rsidR="00ED168A" w:rsidRDefault="009F33E8">
            <w:pPr>
              <w:spacing w:after="0" w:line="240" w:lineRule="auto"/>
            </w:pPr>
            <w:r>
              <w:t>Bell, G., Blythe, M., &amp; Sengers, P. (2005). Making by Makin</w:t>
            </w:r>
            <w:r>
              <w:t>g Strange: Defamiliarization and the Design of Domestic Technologies. ACM Trans. Comput.-Hum. Interact., 12(2), 149–173. https://doi.org/10.1145/1067860.1067862</w:t>
            </w:r>
          </w:p>
          <w:p w:rsidR="00ED168A" w:rsidRDefault="009F33E8">
            <w:pPr>
              <w:spacing w:after="0" w:line="240" w:lineRule="auto"/>
            </w:pPr>
            <w:r>
              <w:t>Bradley, C. (2011). Plagiarism Education and Prevention: A Subject-Driven Case-Based Approach (</w:t>
            </w:r>
            <w:r>
              <w:t>1st edition). Chandos Publishing.</w:t>
            </w:r>
          </w:p>
          <w:p w:rsidR="00ED168A" w:rsidRDefault="009F33E8">
            <w:pPr>
              <w:spacing w:after="0" w:line="240" w:lineRule="auto"/>
            </w:pPr>
            <w:r>
              <w:t>Dawson, M. M., &amp; Overfield, J. A. (2006). Plagiarism: Do Students Know What It Is? Bioscience Education, 8(1), 1–15. https://doi.org/10.3108/beej.8.1</w:t>
            </w:r>
          </w:p>
          <w:p w:rsidR="00ED168A" w:rsidRDefault="009F33E8">
            <w:pPr>
              <w:spacing w:after="0" w:line="240" w:lineRule="auto"/>
            </w:pPr>
            <w:r>
              <w:t>McCullough, M. (1998). Abstracting Craft: The Practiced Digital Hand. MI</w:t>
            </w:r>
            <w:r>
              <w:t>T Press.</w:t>
            </w:r>
          </w:p>
          <w:p w:rsidR="00ED168A" w:rsidRDefault="009F33E8">
            <w:pPr>
              <w:spacing w:after="0" w:line="240" w:lineRule="auto"/>
            </w:pPr>
            <w:r>
              <w:t>Sennett, R. (2008). The Craftsman. Yale University Press.</w:t>
            </w:r>
          </w:p>
          <w:p w:rsidR="00ED168A" w:rsidRDefault="00ED168A">
            <w:pPr>
              <w:spacing w:after="0" w:line="240" w:lineRule="auto"/>
            </w:pPr>
          </w:p>
          <w:p w:rsidR="00ED168A" w:rsidRDefault="00ED168A">
            <w:pPr>
              <w:spacing w:after="0" w:line="240" w:lineRule="auto"/>
            </w:pPr>
          </w:p>
          <w:p w:rsidR="00ED168A" w:rsidRDefault="00ED168A">
            <w:pPr>
              <w:spacing w:after="0" w:line="240" w:lineRule="auto"/>
            </w:pPr>
          </w:p>
        </w:tc>
      </w:tr>
      <w:tr w:rsidR="00ED168A">
        <w:trPr>
          <w:trHeight w:val="1096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lastRenderedPageBreak/>
              <w:t>Egyéb információk:</w:t>
            </w:r>
          </w:p>
        </w:tc>
      </w:tr>
      <w:tr w:rsidR="00ED168A">
        <w:tc>
          <w:tcPr>
            <w:tcW w:w="0" w:type="auto"/>
            <w:gridSpan w:val="5"/>
            <w:tcBorders>
              <w:top w:val="single" w:sz="4" w:space="0" w:color="000000"/>
            </w:tcBorders>
          </w:tcPr>
          <w:p w:rsidR="00ED168A" w:rsidRDefault="009F33E8">
            <w:pPr>
              <w:spacing w:after="0" w:line="240" w:lineRule="auto"/>
            </w:pPr>
            <w:r>
              <w:t>Máshol/korábban szerzett tudás elismerése/ validációs elv:</w:t>
            </w:r>
          </w:p>
          <w:p w:rsidR="00ED168A" w:rsidRDefault="009F33E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adható felmentés a kurzuson való részvétel és teljesítés alól,</w:t>
            </w:r>
          </w:p>
          <w:p w:rsidR="00ED168A" w:rsidRDefault="009F33E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:rsidR="00ED168A" w:rsidRDefault="009F33E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ED168A" w:rsidRDefault="009F33E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ED168A" w:rsidRDefault="00ED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ED168A">
        <w:trPr>
          <w:trHeight w:val="271"/>
        </w:trPr>
        <w:tc>
          <w:tcPr>
            <w:tcW w:w="0" w:type="auto"/>
            <w:gridSpan w:val="5"/>
          </w:tcPr>
          <w:p w:rsidR="00ED168A" w:rsidRDefault="009F33E8">
            <w:pPr>
              <w:spacing w:after="0" w:line="240" w:lineRule="auto"/>
            </w:pPr>
            <w:r>
              <w:t>Tanórán kívüli konzultációs időpontok és helyszín:</w:t>
            </w:r>
          </w:p>
          <w:p w:rsidR="00ED168A" w:rsidRDefault="00ED168A">
            <w:pPr>
              <w:spacing w:after="0" w:line="240" w:lineRule="auto"/>
            </w:pPr>
          </w:p>
        </w:tc>
      </w:tr>
    </w:tbl>
    <w:p w:rsidR="00ED168A" w:rsidRDefault="00ED168A"/>
    <w:sectPr w:rsidR="00ED16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62E"/>
    <w:multiLevelType w:val="hybridMultilevel"/>
    <w:tmpl w:val="8BD4CB76"/>
    <w:lvl w:ilvl="0" w:tplc="1382A50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 w:tplc="36DE56E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 w:tplc="8B20D66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 w:tplc="E3AE457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 w:tplc="246479F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 w:tplc="88F4897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 w:tplc="652A6E0A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 w:tplc="00F8821E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 w:tplc="3B023F06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5C0564C"/>
    <w:multiLevelType w:val="hybridMultilevel"/>
    <w:tmpl w:val="B5BC7BF8"/>
    <w:lvl w:ilvl="0" w:tplc="3572C77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 w:tplc="A7ECBDC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 w:tplc="F0B0378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 w:tplc="DEE69FE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 w:tplc="CC2A0B4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 w:tplc="E3D2A03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 w:tplc="5E08B2EE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 w:tplc="0590B5D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 w:tplc="3E6875B0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E274E0F"/>
    <w:multiLevelType w:val="hybridMultilevel"/>
    <w:tmpl w:val="B988404E"/>
    <w:lvl w:ilvl="0" w:tplc="456EF9C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 w:tplc="2F6CA70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 w:tplc="25EE995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 w:tplc="09A2EF3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 w:tplc="3DAA267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 w:tplc="208C23A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 w:tplc="F2FE974C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 w:tplc="DA3E2AD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 w:tplc="336E4F7E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0DB6DBC"/>
    <w:multiLevelType w:val="hybridMultilevel"/>
    <w:tmpl w:val="193C6456"/>
    <w:lvl w:ilvl="0" w:tplc="8D46488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808137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7F089D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CDE9D1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F50DD6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1F4C11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4B4564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F40E44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D00A9E5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1E0CB2"/>
    <w:multiLevelType w:val="hybridMultilevel"/>
    <w:tmpl w:val="72A4653C"/>
    <w:lvl w:ilvl="0" w:tplc="4FC232DE">
      <w:start w:val="1"/>
      <w:numFmt w:val="decimal"/>
      <w:lvlText w:val="%1."/>
      <w:lvlJc w:val="left"/>
      <w:pPr>
        <w:ind w:left="720" w:hanging="360"/>
      </w:pPr>
    </w:lvl>
    <w:lvl w:ilvl="1" w:tplc="BE125BE8">
      <w:start w:val="1"/>
      <w:numFmt w:val="decimal"/>
      <w:lvlText w:val="%2."/>
      <w:lvlJc w:val="left"/>
      <w:pPr>
        <w:ind w:left="1440" w:hanging="1080"/>
      </w:pPr>
    </w:lvl>
    <w:lvl w:ilvl="2" w:tplc="5C28EBD4">
      <w:start w:val="1"/>
      <w:numFmt w:val="decimal"/>
      <w:lvlText w:val="%3."/>
      <w:lvlJc w:val="left"/>
      <w:pPr>
        <w:ind w:left="2160" w:hanging="1980"/>
      </w:pPr>
    </w:lvl>
    <w:lvl w:ilvl="3" w:tplc="D6D893F0">
      <w:start w:val="1"/>
      <w:numFmt w:val="decimal"/>
      <w:lvlText w:val="%4."/>
      <w:lvlJc w:val="left"/>
      <w:pPr>
        <w:ind w:left="2880" w:hanging="2520"/>
      </w:pPr>
    </w:lvl>
    <w:lvl w:ilvl="4" w:tplc="E12A899C">
      <w:start w:val="1"/>
      <w:numFmt w:val="decimal"/>
      <w:lvlText w:val="%5."/>
      <w:lvlJc w:val="left"/>
      <w:pPr>
        <w:ind w:left="3600" w:hanging="3240"/>
      </w:pPr>
    </w:lvl>
    <w:lvl w:ilvl="5" w:tplc="B2285256">
      <w:start w:val="1"/>
      <w:numFmt w:val="decimal"/>
      <w:lvlText w:val="%6."/>
      <w:lvlJc w:val="left"/>
      <w:pPr>
        <w:ind w:left="4320" w:hanging="4140"/>
      </w:pPr>
    </w:lvl>
    <w:lvl w:ilvl="6" w:tplc="3DDA40DA">
      <w:start w:val="1"/>
      <w:numFmt w:val="decimal"/>
      <w:lvlText w:val="%7."/>
      <w:lvlJc w:val="left"/>
      <w:pPr>
        <w:ind w:left="5040" w:hanging="4680"/>
      </w:pPr>
    </w:lvl>
    <w:lvl w:ilvl="7" w:tplc="6C767ADA">
      <w:start w:val="1"/>
      <w:numFmt w:val="decimal"/>
      <w:lvlText w:val="%8."/>
      <w:lvlJc w:val="left"/>
      <w:pPr>
        <w:ind w:left="5760" w:hanging="5400"/>
      </w:pPr>
    </w:lvl>
    <w:lvl w:ilvl="8" w:tplc="6FE4178E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72AF0431"/>
    <w:multiLevelType w:val="hybridMultilevel"/>
    <w:tmpl w:val="1A64D552"/>
    <w:lvl w:ilvl="0" w:tplc="5EEE366C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 w:tplc="1AA46348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9F46350">
      <w:start w:val="1"/>
      <w:numFmt w:val="lowerRoman"/>
      <w:lvlText w:val="%3."/>
      <w:lvlJc w:val="right"/>
      <w:pPr>
        <w:ind w:left="2160" w:hanging="180"/>
      </w:pPr>
    </w:lvl>
    <w:lvl w:ilvl="3" w:tplc="8416A6F8">
      <w:start w:val="1"/>
      <w:numFmt w:val="decimal"/>
      <w:lvlText w:val="%4."/>
      <w:lvlJc w:val="left"/>
      <w:pPr>
        <w:ind w:left="2880" w:hanging="360"/>
      </w:pPr>
    </w:lvl>
    <w:lvl w:ilvl="4" w:tplc="EC1EE576">
      <w:start w:val="1"/>
      <w:numFmt w:val="lowerLetter"/>
      <w:lvlText w:val="%5."/>
      <w:lvlJc w:val="left"/>
      <w:pPr>
        <w:ind w:left="3600" w:hanging="360"/>
      </w:pPr>
    </w:lvl>
    <w:lvl w:ilvl="5" w:tplc="62FE4766">
      <w:start w:val="1"/>
      <w:numFmt w:val="lowerRoman"/>
      <w:lvlText w:val="%6."/>
      <w:lvlJc w:val="right"/>
      <w:pPr>
        <w:ind w:left="4320" w:hanging="180"/>
      </w:pPr>
    </w:lvl>
    <w:lvl w:ilvl="6" w:tplc="807226E8">
      <w:start w:val="1"/>
      <w:numFmt w:val="decimal"/>
      <w:lvlText w:val="%7."/>
      <w:lvlJc w:val="left"/>
      <w:pPr>
        <w:ind w:left="5040" w:hanging="360"/>
      </w:pPr>
    </w:lvl>
    <w:lvl w:ilvl="7" w:tplc="013008F4">
      <w:start w:val="1"/>
      <w:numFmt w:val="lowerLetter"/>
      <w:lvlText w:val="%8."/>
      <w:lvlJc w:val="left"/>
      <w:pPr>
        <w:ind w:left="5760" w:hanging="360"/>
      </w:pPr>
    </w:lvl>
    <w:lvl w:ilvl="8" w:tplc="C0E839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A"/>
    <w:rsid w:val="009F33E8"/>
    <w:rsid w:val="00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8763-DF83-4B20-BBED-BFFD377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1FC7EI2z0ZpT6HcN5nrvvofyfQ==">AMUW2mUhxyySkPlaENhQymrFyf/X969nOhoE9PoOS6w5cjUQ8D7GTBVTB60zyLTyYrN+fMH/JFAF3RrEMwFZURFMKwXumNBxXUfOgVE9jxKVmM+Xjq03vu8lFtfJG//r230uDgznpNaR4gSMCpAcRDw1PTVklCMfPwJm0y/dc8L0VOWnPALnTos=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6038</Characters>
  <Application>Microsoft Office Word</Application>
  <DocSecurity>0</DocSecurity>
  <Lines>50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2</cp:revision>
  <dcterms:created xsi:type="dcterms:W3CDTF">2020-11-10T13:19:00Z</dcterms:created>
  <dcterms:modified xsi:type="dcterms:W3CDTF">2022-01-25T20:57:00Z</dcterms:modified>
</cp:coreProperties>
</file>