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KFI kurzustematika sablon</w:t>
      </w:r>
    </w:p>
    <w:tbl>
      <w:tblPr>
        <w:tblStyle w:val="Table1"/>
        <w:tblW w:w="9128.0" w:type="dxa"/>
        <w:jc w:val="left"/>
        <w:tblInd w:w="78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400"/>
      </w:tblPr>
      <w:tblGrid>
        <w:gridCol w:w="623"/>
        <w:gridCol w:w="1701"/>
        <w:gridCol w:w="1843"/>
        <w:gridCol w:w="1151"/>
        <w:gridCol w:w="1259"/>
        <w:gridCol w:w="2551"/>
        <w:tblGridChange w:id="0">
          <w:tblGrid>
            <w:gridCol w:w="623"/>
            <w:gridCol w:w="1701"/>
            <w:gridCol w:w="1843"/>
            <w:gridCol w:w="1151"/>
            <w:gridCol w:w="1259"/>
            <w:gridCol w:w="2551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2">
            <w:pPr>
              <w:pStyle w:val="Heading3"/>
              <w:spacing w:before="60" w:lineRule="auto"/>
              <w:ind w:left="113" w:right="113" w:firstLine="0"/>
              <w:jc w:val="center"/>
              <w:rPr>
                <w:rFonts w:ascii="Calibri" w:cs="Calibri" w:eastAsia="Calibri" w:hAnsi="Calibri"/>
                <w:b w:val="0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8"/>
                <w:szCs w:val="28"/>
                <w:rtl w:val="0"/>
              </w:rPr>
              <w:t xml:space="preserve">1. Alapadatok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3">
            <w:pPr>
              <w:pStyle w:val="Heading3"/>
              <w:tabs>
                <w:tab w:val="left" w:pos="6912"/>
              </w:tabs>
              <w:spacing w:before="6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Kurzus neve: COMPO – Anyagkutatás/ szilikátalapú kompozitok </w:t>
              <w:tab/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9">
            <w:pPr>
              <w:pStyle w:val="Heading3"/>
              <w:spacing w:before="60" w:lineRule="auto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A kurzus oktatója/i, elérhetősége(i): Kondor Edit, </w:t>
            </w:r>
            <w:hyperlink r:id="rId7">
              <w:r w:rsidDel="00000000" w:rsidR="00000000" w:rsidRPr="00000000">
                <w:rPr>
                  <w:rFonts w:ascii="Calibri" w:cs="Calibri" w:eastAsia="Calibri" w:hAnsi="Calibri"/>
                  <w:b w:val="0"/>
                  <w:color w:val="0563c1"/>
                  <w:sz w:val="22"/>
                  <w:szCs w:val="22"/>
                  <w:u w:val="single"/>
                  <w:rtl w:val="0"/>
                </w:rPr>
                <w:t xml:space="preserve">ekondor@mome.hu</w:t>
              </w:r>
            </w:hyperlink>
            <w:r w:rsidDel="00000000" w:rsidR="00000000" w:rsidRPr="00000000">
              <w:rPr>
                <w:rFonts w:ascii="Calibri" w:cs="Calibri" w:eastAsia="Calibri" w:hAnsi="Calibri"/>
                <w:b w:val="0"/>
                <w:sz w:val="22"/>
                <w:szCs w:val="22"/>
                <w:rtl w:val="0"/>
              </w:rPr>
              <w:t xml:space="preserve"> / Bokor Zsuzsa zsubokorzsa@gmail.com</w:t>
            </w:r>
          </w:p>
        </w:tc>
      </w:tr>
      <w:tr>
        <w:trPr>
          <w:cantSplit w:val="0"/>
          <w:trHeight w:val="1590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rtl w:val="0"/>
              </w:rPr>
              <w:t xml:space="preserve">Kód:</w:t>
            </w:r>
          </w:p>
          <w:p w:rsidR="00000000" w:rsidDel="00000000" w:rsidP="00000000" w:rsidRDefault="00000000" w:rsidRPr="00000000" w14:paraId="00000010">
            <w:pPr>
              <w:rPr>
                <w:sz w:val="26"/>
                <w:szCs w:val="26"/>
              </w:rPr>
            </w:pPr>
            <w:r w:rsidDel="00000000" w:rsidR="00000000" w:rsidRPr="00000000">
              <w:rPr>
                <w:rFonts w:ascii="Arial" w:cs="Arial" w:eastAsia="Arial" w:hAnsi="Arial"/>
                <w:sz w:val="21"/>
                <w:szCs w:val="21"/>
                <w:rtl w:val="0"/>
              </w:rPr>
              <w:t xml:space="preserve">M-KF-301-DI-20210105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  <w:t xml:space="preserve">Tantervi hely:</w:t>
            </w:r>
          </w:p>
          <w:p w:rsidR="00000000" w:rsidDel="00000000" w:rsidP="00000000" w:rsidRDefault="00000000" w:rsidRPr="00000000" w14:paraId="00000012">
            <w:pPr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MA 1-2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rtl w:val="0"/>
              </w:rPr>
              <w:t xml:space="preserve">Javasolt félév: 2021-22 /I.félév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108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félév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  <w:t xml:space="preserve">Kredit: 5</w:t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Tanóraszám: 48-60</w:t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  <w:t xml:space="preserve">Egyéni hallgatói munkaóra: 90-102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Kapcsolt kódok: nincs</w:t>
            </w:r>
          </w:p>
          <w:p w:rsidR="00000000" w:rsidDel="00000000" w:rsidP="00000000" w:rsidRDefault="00000000" w:rsidRPr="00000000" w14:paraId="0000001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rPr/>
            </w:pPr>
            <w:r w:rsidDel="00000000" w:rsidR="00000000" w:rsidRPr="00000000">
              <w:rPr>
                <w:rtl w:val="0"/>
              </w:rPr>
              <w:t xml:space="preserve">Típus: gyakorlat/konzultáció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Szab.vál-ként felvehető-e? nem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E">
            <w:pPr>
              <w:rPr/>
            </w:pPr>
            <w:r w:rsidDel="00000000" w:rsidR="00000000" w:rsidRPr="00000000">
              <w:rPr>
                <w:rtl w:val="0"/>
              </w:rPr>
              <w:t xml:space="preserve">Szab.vál. esetén sajátos előfeltételek: -</w:t>
            </w:r>
          </w:p>
          <w:p w:rsidR="00000000" w:rsidDel="00000000" w:rsidP="00000000" w:rsidRDefault="00000000" w:rsidRPr="00000000" w14:paraId="0000001F">
            <w:pPr>
              <w:tabs>
                <w:tab w:val="left" w:pos="448"/>
                <w:tab w:val="left" w:pos="2173"/>
              </w:tabs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2">
            <w:pPr>
              <w:rPr/>
            </w:pPr>
            <w:r w:rsidDel="00000000" w:rsidR="00000000" w:rsidRPr="00000000">
              <w:rPr>
                <w:rtl w:val="0"/>
              </w:rPr>
              <w:t xml:space="preserve">A kurzus kapcsolatai (előfeltételek, párhuzamosságok): nincs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 kurzus nyitott az alábbi szakok számára és a jelölt arányokban: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MA: max.8 fő, Design Intézet Kerámiatervezés MA: 4 fő, Formatervező MA szak: 2 fő, Építőművész MA: 2 fő, BA évfolyamok és a további szakok számára nem nyitott.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ind w:left="113" w:right="113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 Célmeghatározás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A kurzus célja és alapelvei: </w:t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(a tantárgyi leírás alapján, azzal összhangban határozandók meg) 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Kompozit anyagkísérletek / újrahasznosítás / zöld anyag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A kurzus során a szilikátalapú kompozitok területén folytatott kutatások és az ezzel kapcsolatos kutatásmódszertani alapok megismerése és alkalmazása a cél egyéni kutatási projektek keretében. Elméleti kutatások megismerése, összegzése továbbá gyakorlati úton folytatott kísérletek során az ipari szilikátok és a természetben található alapanyagok szerves és újrahasznosított anyagok kompozitjainak összeállítása, tulajdonságainak megismerése és felhasználási lehetőségeinek feltérképezése a cél.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A kurzus tovább célja  a hallgatók kutatásmódszertani képességeinek, innovatív szemléletének fejlesztése továbbá a kutató-fejlesztő teamekben való együttműködésre való felkészítés, a szakterületek közti integráció és átjárhatóság megteremtése.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Együttműködés a Pannon Egyetem, Anyagmérnöki és Gépészmérnöki Intézetével (Veszprém) illetve a Miskolci Egyetem Műszaki  Anyagtudományi karával.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1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  <w:t xml:space="preserve">Tanulási eredmények (fejlesztendő szakmai és általános kompetenciák):</w:t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TUDÁS </w:t>
            </w:r>
          </w:p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1) ismerje az anyagtudomány területén  alkalmazott főbb fejlesztési és innovációs módszereket, modelleket, elméleteket;</w:t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2) ismeri és érti ezek alkalmazhatóságának lehetőségeit és korlátait;</w:t>
            </w:r>
          </w:p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3) magas szinten és részleteiben ismeri néhány releváns design és művészeti KFI módszer fő elemeit, eszközeit, lépéseit, valamint ezek rendszerszerű egymásra épülését.</w:t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KÉPESSÉG:</w:t>
            </w:r>
          </w:p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1) egy adott probléma, vagy elvárt eredmény kapcsán kiválasztja az adekvát KFI módszert több módszer közül;</w:t>
            </w:r>
          </w:p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2) rutinszerűen felismeri azokat a helyzeteket ahol KFI eszközöket és módszereket szükséges alkalmazni;</w:t>
            </w:r>
          </w:p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  <w:t xml:space="preserve">3) megtervez, kontextusba illeszt és értékel egy KFI folyamatot;</w:t>
            </w:r>
          </w:p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rtl w:val="0"/>
              </w:rPr>
              <w:t xml:space="preserve">4) legalább két módszer alkalmazásában gyakorlati tapasztalattal rendelkezik;</w:t>
            </w:r>
          </w:p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rtl w:val="0"/>
              </w:rPr>
              <w:t xml:space="preserve">5) az általa végzett KFI tevékenység folyamatát, eredményeit, újdonság- és hozzáadott értékét közérthető módon, illetve szakmai szempontból magas szinten kommunikálja; </w:t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rtl w:val="0"/>
              </w:rPr>
              <w:t xml:space="preserve">6) értelmezi a KFI tevékenységének gazdasági és társadalmi vonatkozásait.</w:t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rtl w:val="0"/>
              </w:rPr>
              <w:t xml:space="preserve">ATTITŰD</w:t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1) törekszik arra, hogy szakmai munkáját kísérletező, felfedező, újító és innovatív szemléletben végezze;</w:t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rtl w:val="0"/>
              </w:rPr>
              <w:t xml:space="preserve">2) törekszik a szakmai határvonalak átlépésére, és az interdiszciplináris együttműködésre más szakterületekkel;</w:t>
            </w:r>
          </w:p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rtl w:val="0"/>
              </w:rPr>
              <w:t xml:space="preserve">3) nyitott arra, hogy alkotó és tervező tevékenységébe tudatosan alkalmazzon KFI módszereket és eszközöket;</w:t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rtl w:val="0"/>
              </w:rPr>
              <w:t xml:space="preserve">4) törekszik arra, hogy a KFI tevékenységét tervezett módon, szisztematikusan és reflektíven végezze.</w:t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rtl w:val="0"/>
              </w:rPr>
              <w:t xml:space="preserve">AUTONÓMIA</w:t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rtl w:val="0"/>
              </w:rPr>
              <w:t xml:space="preserve">1) egyéni helyzetben önálló módon irányítás nélkül, csoportos helyzetben egyenrangú félként együttműködve alkalmazza a megismert KFI módszereket;</w:t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rtl w:val="0"/>
              </w:rPr>
              <w:t xml:space="preserve">2) ismeri, érti és elkötelezetten betartja a KFI folyamatok szakmai etikai normáit;</w:t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3) széles körűen átlátja tevékenysége társadalmi, gazdasági, kulturális és egyéb kontextuális vonatkozásait, és széleskörű felelősséget vállal az általa elvégzett szakmai tevékenységért.</w:t>
            </w:r>
          </w:p>
        </w:tc>
      </w:tr>
      <w:tr>
        <w:trPr>
          <w:cantSplit w:val="0"/>
          <w:trHeight w:val="1188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ind w:left="113" w:right="113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 Útvonal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rtl w:val="0"/>
              </w:rPr>
              <w:t xml:space="preserve">A kurzus keretében feldolgozandó témakörök, témák: </w:t>
            </w:r>
          </w:p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Jövő anyagai /fenntartható anyagok a design és az építészet területén</w:t>
            </w:r>
          </w:p>
          <w:p w:rsidR="00000000" w:rsidDel="00000000" w:rsidP="00000000" w:rsidRDefault="00000000" w:rsidRPr="00000000" w14:paraId="00000052">
            <w:pPr>
              <w:rPr/>
            </w:pPr>
            <w:r w:rsidDel="00000000" w:rsidR="00000000" w:rsidRPr="00000000">
              <w:rPr>
                <w:rtl w:val="0"/>
              </w:rPr>
              <w:t xml:space="preserve">Szilikátipari kompozitok /</w:t>
            </w:r>
            <w:r w:rsidDel="00000000" w:rsidR="00000000" w:rsidRPr="00000000">
              <w:rPr>
                <w:color w:val="1a1b1f"/>
                <w:highlight w:val="white"/>
                <w:rtl w:val="0"/>
              </w:rPr>
              <w:t xml:space="preserve"> Mázak /Újrahasznosított ipari szilikát anyagok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color w:val="1a1b1f"/>
                <w:highlight w:val="white"/>
              </w:rPr>
            </w:pPr>
            <w:r w:rsidDel="00000000" w:rsidR="00000000" w:rsidRPr="00000000">
              <w:rPr>
                <w:color w:val="1a1b1f"/>
                <w:highlight w:val="white"/>
                <w:rtl w:val="0"/>
              </w:rPr>
              <w:t xml:space="preserve">Klasszikus- és műszaki kerámiák</w:t>
            </w:r>
          </w:p>
          <w:p w:rsidR="00000000" w:rsidDel="00000000" w:rsidP="00000000" w:rsidRDefault="00000000" w:rsidRPr="00000000" w14:paraId="00000054">
            <w:pPr>
              <w:rPr>
                <w:color w:val="1a1b1f"/>
                <w:highlight w:val="white"/>
              </w:rPr>
            </w:pPr>
            <w:r w:rsidDel="00000000" w:rsidR="00000000" w:rsidRPr="00000000">
              <w:rPr>
                <w:color w:val="1a1b1f"/>
                <w:highlight w:val="white"/>
                <w:rtl w:val="0"/>
              </w:rPr>
              <w:t xml:space="preserve"> Hagyományos és speciális üvegek, -kötőanyagok tulajdonságai, előállításuk és vizsgálatuk; Szilikátbázisú szervetlen polimerek előállítási lehetőségeinek kutatása, </w:t>
            </w:r>
          </w:p>
          <w:p w:rsidR="00000000" w:rsidDel="00000000" w:rsidP="00000000" w:rsidRDefault="00000000" w:rsidRPr="00000000" w14:paraId="00000055">
            <w:pPr>
              <w:rPr>
                <w:color w:val="1a1b1f"/>
                <w:highlight w:val="white"/>
              </w:rPr>
            </w:pPr>
            <w:r w:rsidDel="00000000" w:rsidR="00000000" w:rsidRPr="00000000">
              <w:rPr>
                <w:color w:val="1a1b1f"/>
                <w:highlight w:val="white"/>
                <w:rtl w:val="0"/>
              </w:rPr>
              <w:t xml:space="preserve">Hulladék anyagok hasznosítása. /</w:t>
            </w:r>
            <w:r w:rsidDel="00000000" w:rsidR="00000000" w:rsidRPr="00000000">
              <w:rPr>
                <w:color w:val="1a1b1f"/>
                <w:rtl w:val="0"/>
              </w:rPr>
              <w:t xml:space="preserve">Hulladékhasznosítási technológiák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  <w:t xml:space="preserve">Kutatás módszertan / Kutatás elemzés</w:t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rtl w:val="0"/>
              </w:rPr>
              <w:t xml:space="preserve">A kurzus során alkalmazott KFI módszerek, eszközök: </w:t>
            </w:r>
          </w:p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rtl w:val="0"/>
              </w:rPr>
              <w:t xml:space="preserve">•  adatgyűjtési, elemzési és értékelési módszerek</w:t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rtl w:val="0"/>
              </w:rPr>
              <w:t xml:space="preserve">•  művészeti és design megismerési és alkotó módszerek</w:t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•  ötlet- és koncepciófejlesztési módszerek</w:t>
            </w:r>
          </w:p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rtl w:val="0"/>
              </w:rPr>
              <w:t xml:space="preserve">•  termékfejlesztési módszerek</w:t>
            </w:r>
          </w:p>
          <w:p w:rsidR="00000000" w:rsidDel="00000000" w:rsidP="00000000" w:rsidRDefault="00000000" w:rsidRPr="00000000" w14:paraId="00000061">
            <w:pPr>
              <w:rPr/>
            </w:pPr>
            <w:r w:rsidDel="00000000" w:rsidR="00000000" w:rsidRPr="00000000">
              <w:rPr>
                <w:rtl w:val="0"/>
              </w:rPr>
              <w:t xml:space="preserve">•  tesztelési és validációs módszerek</w:t>
            </w:r>
          </w:p>
          <w:p w:rsidR="00000000" w:rsidDel="00000000" w:rsidP="00000000" w:rsidRDefault="00000000" w:rsidRPr="00000000" w14:paraId="00000062">
            <w:pPr>
              <w:rPr/>
            </w:pPr>
            <w:r w:rsidDel="00000000" w:rsidR="00000000" w:rsidRPr="00000000">
              <w:rPr>
                <w:rtl w:val="0"/>
              </w:rPr>
              <w:t xml:space="preserve">•  KFI folyamat menedzsment módszerek</w:t>
            </w:r>
          </w:p>
          <w:p w:rsidR="00000000" w:rsidDel="00000000" w:rsidP="00000000" w:rsidRDefault="00000000" w:rsidRPr="00000000" w14:paraId="00000063">
            <w:pPr>
              <w:rPr/>
            </w:pPr>
            <w:r w:rsidDel="00000000" w:rsidR="00000000" w:rsidRPr="00000000">
              <w:rPr>
                <w:rtl w:val="0"/>
              </w:rPr>
              <w:t xml:space="preserve">•  kutatási kollaborációs módszerek</w:t>
            </w:r>
          </w:p>
          <w:p w:rsidR="00000000" w:rsidDel="00000000" w:rsidP="00000000" w:rsidRDefault="00000000" w:rsidRPr="00000000" w14:paraId="00000064">
            <w:pPr>
              <w:rPr/>
            </w:pPr>
            <w:r w:rsidDel="00000000" w:rsidR="00000000" w:rsidRPr="00000000">
              <w:rPr>
                <w:rtl w:val="0"/>
              </w:rPr>
              <w:t xml:space="preserve">•  dokumentációs és kommunikációs módszerek</w:t>
            </w:r>
          </w:p>
          <w:p w:rsidR="00000000" w:rsidDel="00000000" w:rsidP="00000000" w:rsidRDefault="00000000" w:rsidRPr="00000000" w14:paraId="00000065">
            <w:pPr>
              <w:rPr/>
            </w:pPr>
            <w:r w:rsidDel="00000000" w:rsidR="00000000" w:rsidRPr="00000000">
              <w:rPr>
                <w:rtl w:val="0"/>
              </w:rPr>
              <w:t xml:space="preserve">•  KFI elemek, folyamatok, módszerek összehasonlító kritikája, értékelése</w:t>
            </w:r>
          </w:p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rtl w:val="0"/>
              </w:rPr>
              <w:t xml:space="preserve">•  KFI folyamatok, feladatok elvégzésének önreflexiója </w:t>
            </w:r>
          </w:p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75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Tanulásszervezés/folyamatszervezés sajátosságai: </w:t>
            </w:r>
          </w:p>
          <w:p w:rsidR="00000000" w:rsidDel="00000000" w:rsidP="00000000" w:rsidRDefault="00000000" w:rsidRPr="00000000" w14:paraId="0000006E">
            <w:pPr>
              <w:spacing w:after="60" w:before="120" w:lineRule="auto"/>
              <w:ind w:left="134" w:hanging="134"/>
              <w:rPr/>
            </w:pPr>
            <w:r w:rsidDel="00000000" w:rsidR="00000000" w:rsidRPr="00000000">
              <w:rPr>
                <w:rtl w:val="0"/>
              </w:rPr>
              <w:t xml:space="preserve">   A kurzus menete, az egyes foglalkozások jellege és ütemezésük (több tanár esetén akár a tanári közreműködés megosztását is jelezve:</w:t>
            </w:r>
          </w:p>
          <w:p w:rsidR="00000000" w:rsidDel="00000000" w:rsidP="00000000" w:rsidRDefault="00000000" w:rsidRPr="00000000" w14:paraId="0000006F">
            <w:pPr>
              <w:spacing w:after="60" w:before="120" w:lineRule="auto"/>
              <w:ind w:left="134" w:hanging="134"/>
              <w:rPr/>
            </w:pPr>
            <w:r w:rsidDel="00000000" w:rsidR="00000000" w:rsidRPr="00000000">
              <w:rPr>
                <w:rtl w:val="0"/>
              </w:rPr>
              <w:t xml:space="preserve">Bevezetés </w:t>
            </w:r>
          </w:p>
          <w:p w:rsidR="00000000" w:rsidDel="00000000" w:rsidP="00000000" w:rsidRDefault="00000000" w:rsidRPr="00000000" w14:paraId="00000070">
            <w:pPr>
              <w:spacing w:after="60" w:before="120" w:lineRule="auto"/>
              <w:ind w:left="134" w:hanging="134"/>
              <w:rPr/>
            </w:pPr>
            <w:r w:rsidDel="00000000" w:rsidR="00000000" w:rsidRPr="00000000">
              <w:rPr>
                <w:rtl w:val="0"/>
              </w:rPr>
              <w:t xml:space="preserve">Anyagkutatás ma / kollaborációs lehetőségek</w:t>
            </w:r>
          </w:p>
          <w:p w:rsidR="00000000" w:rsidDel="00000000" w:rsidP="00000000" w:rsidRDefault="00000000" w:rsidRPr="00000000" w14:paraId="00000071">
            <w:pPr>
              <w:spacing w:after="60" w:before="120" w:lineRule="auto"/>
              <w:ind w:left="134" w:hanging="134"/>
              <w:rPr/>
            </w:pPr>
            <w:r w:rsidDel="00000000" w:rsidR="00000000" w:rsidRPr="00000000">
              <w:rPr>
                <w:rtl w:val="0"/>
              </w:rPr>
              <w:t xml:space="preserve">Kutatásmódszertani alapok</w:t>
            </w:r>
          </w:p>
          <w:p w:rsidR="00000000" w:rsidDel="00000000" w:rsidP="00000000" w:rsidRDefault="00000000" w:rsidRPr="00000000" w14:paraId="00000072">
            <w:pPr>
              <w:spacing w:after="60" w:before="120" w:lineRule="auto"/>
              <w:ind w:left="134" w:hanging="134"/>
              <w:rPr/>
            </w:pPr>
            <w:r w:rsidDel="00000000" w:rsidR="00000000" w:rsidRPr="00000000">
              <w:rPr>
                <w:rtl w:val="0"/>
              </w:rPr>
              <w:t xml:space="preserve">Egyéni kutatási terv összeállítása</w:t>
            </w:r>
          </w:p>
          <w:p w:rsidR="00000000" w:rsidDel="00000000" w:rsidP="00000000" w:rsidRDefault="00000000" w:rsidRPr="00000000" w14:paraId="00000073">
            <w:pPr>
              <w:spacing w:after="60" w:before="120" w:lineRule="auto"/>
              <w:ind w:left="134" w:hanging="134"/>
              <w:rPr/>
            </w:pPr>
            <w:r w:rsidDel="00000000" w:rsidR="00000000" w:rsidRPr="00000000">
              <w:rPr>
                <w:rtl w:val="0"/>
              </w:rPr>
              <w:t xml:space="preserve">Egyéni kutatómunka/ Anyagkísérleti stúdium</w:t>
            </w:r>
          </w:p>
          <w:p w:rsidR="00000000" w:rsidDel="00000000" w:rsidP="00000000" w:rsidRDefault="00000000" w:rsidRPr="00000000" w14:paraId="00000074">
            <w:pPr>
              <w:spacing w:after="60" w:before="120" w:lineRule="auto"/>
              <w:ind w:left="134" w:hanging="134"/>
              <w:rPr/>
            </w:pPr>
            <w:r w:rsidDel="00000000" w:rsidR="00000000" w:rsidRPr="00000000">
              <w:rPr>
                <w:rtl w:val="0"/>
              </w:rPr>
              <w:t xml:space="preserve">Kutatási eredmény feldolgozása , összegzése</w:t>
            </w:r>
          </w:p>
          <w:p w:rsidR="00000000" w:rsidDel="00000000" w:rsidP="00000000" w:rsidRDefault="00000000" w:rsidRPr="00000000" w14:paraId="00000075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   A hallgatók tennivalói, feladatai:</w:t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rtl w:val="0"/>
              </w:rPr>
              <w:t xml:space="preserve">Kutatási terv </w:t>
            </w:r>
          </w:p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Kutatási napló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rtl w:val="0"/>
              </w:rPr>
              <w:t xml:space="preserve">Anyagkísérleti próbadarabok létrehozása /rendszerezése /prezentálása</w:t>
            </w:r>
          </w:p>
          <w:p w:rsidR="00000000" w:rsidDel="00000000" w:rsidP="00000000" w:rsidRDefault="00000000" w:rsidRPr="00000000" w14:paraId="0000007A">
            <w:pPr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A tanulás környezete: tárgyalkotó műhely , műterem /</w:t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vMerge w:val="restart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F">
            <w:pPr>
              <w:ind w:left="113" w:right="113" w:firstLine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 Értékelés</w:t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rtl w:val="0"/>
              </w:rPr>
              <w:t xml:space="preserve">Értékelés (Több tanár és tanáronként külön értékelés esetén tanáronként megbontva)</w:t>
            </w:r>
          </w:p>
          <w:p w:rsidR="00000000" w:rsidDel="00000000" w:rsidP="00000000" w:rsidRDefault="00000000" w:rsidRPr="00000000" w14:paraId="00000081">
            <w:pPr>
              <w:rPr/>
            </w:pPr>
            <w:r w:rsidDel="00000000" w:rsidR="00000000" w:rsidRPr="00000000">
              <w:rPr>
                <w:rtl w:val="0"/>
              </w:rPr>
              <w:t xml:space="preserve">   Teljesítendő követelmények:</w:t>
            </w:r>
          </w:p>
          <w:p w:rsidR="00000000" w:rsidDel="00000000" w:rsidP="00000000" w:rsidRDefault="00000000" w:rsidRPr="00000000" w14:paraId="0000008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ind w:left="276" w:firstLine="0"/>
              <w:rPr/>
            </w:pPr>
            <w:r w:rsidDel="00000000" w:rsidR="00000000" w:rsidRPr="00000000">
              <w:rPr>
                <w:rtl w:val="0"/>
              </w:rPr>
              <w:t xml:space="preserve">Értékelés módja: gyakorlati demonstráció</w:t>
            </w:r>
          </w:p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rtl w:val="0"/>
              </w:rPr>
              <w:t xml:space="preserve">    Az értékelés szempontjai (mi mindent veszünk figyelembe az értékelésben): </w:t>
            </w:r>
          </w:p>
          <w:p w:rsidR="00000000" w:rsidDel="00000000" w:rsidP="00000000" w:rsidRDefault="00000000" w:rsidRPr="00000000" w14:paraId="0000008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3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4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rtl w:val="0"/>
              </w:rPr>
              <w:t xml:space="preserve">Az érdemjegy kiszámítása (az egyes értékelt követelmények eredménye hogyan jelenik meg a végső érdemjegyben? {pl. arányok, pontok, súlyok}):  </w:t>
            </w:r>
          </w:p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rtl w:val="0"/>
              </w:rPr>
              <w:t xml:space="preserve">A félévi jegy komponensei:</w:t>
              <w:tab/>
              <w:tab/>
              <w:tab/>
              <w:t xml:space="preserve">             Értékelés:</w:t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Aktivitás, jelenlét</w:t>
              <w:tab/>
              <w:tab/>
              <w:t xml:space="preserve">  10 %</w:t>
              <w:tab/>
              <w:tab/>
              <w:t xml:space="preserve">91-100%:</w:t>
              <w:tab/>
              <w:t xml:space="preserve">jeles</w:t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Közös konzultáció prezentáció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ab/>
              <w:t xml:space="preserve">  10 %</w:t>
              <w:tab/>
              <w:t xml:space="preserve">    </w:t>
              <w:tab/>
              <w:t xml:space="preserve">81-90%:</w:t>
              <w:tab/>
              <w:t xml:space="preserve">jó</w:t>
              <w:tab/>
              <w:t xml:space="preserve">                                                </w:t>
            </w:r>
          </w:p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Kutatás tartalmi minősége            40 %                 71-80%:</w:t>
              <w:tab/>
              <w:t xml:space="preserve">              közepes</w:t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Kutatási anyag formai minősége 20 %</w:t>
              <w:tab/>
              <w:tab/>
              <w:t xml:space="preserve"> 61-70%:</w:t>
              <w:tab/>
              <w:t xml:space="preserve">elégséges</w:t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rtl w:val="0"/>
              </w:rPr>
              <w:t xml:space="preserve">•</w:t>
              <w:tab/>
              <w:t xml:space="preserve">Prezentáció/ kommunikáció</w:t>
              <w:tab/>
              <w:t xml:space="preserve">   20 %</w:t>
              <w:tab/>
              <w:tab/>
              <w:t xml:space="preserve">  0-60%:               elégtelen</w:t>
            </w:r>
          </w:p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51" w:hRule="atLeast"/>
          <w:tblHeader w:val="0"/>
        </w:trPr>
        <w:tc>
          <w:tcPr>
            <w:vMerge w:val="continue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9">
            <w:pPr>
              <w:rPr/>
            </w:pPr>
            <w:r w:rsidDel="00000000" w:rsidR="00000000" w:rsidRPr="00000000">
              <w:rPr>
                <w:rtl w:val="0"/>
              </w:rPr>
              <w:t xml:space="preserve">Máshol/korábban szerzett tudás elismerése/ validációs elv: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teljeskörű beszámítás/elismerés lehetséges</w:t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 részleges beszámítás/elismerés lehetséges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nincs lehetőség elismerésre/beszámításra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after="12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9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rtl w:val="0"/>
              </w:rPr>
              <w:t xml:space="preserve">Kötelező irodalom: </w:t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tabs>
                <w:tab w:val="left" w:pos="3043"/>
              </w:tabs>
              <w:rPr/>
            </w:pPr>
            <w:r w:rsidDel="00000000" w:rsidR="00000000" w:rsidRPr="00000000">
              <w:rPr>
                <w:rtl w:val="0"/>
              </w:rPr>
              <w:t xml:space="preserve">Ajánlott irodalom: </w:t>
              <w:tab/>
            </w:r>
          </w:p>
        </w:tc>
      </w:tr>
      <w:tr>
        <w:trPr>
          <w:cantSplit w:val="0"/>
          <w:trHeight w:val="993" w:hRule="atLeast"/>
          <w:tblHeader w:val="0"/>
        </w:trPr>
        <w:tc>
          <w:tcPr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Egyéb információk: 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 kurzuson való részvételt előzetes beszélgetés alapján döntjük el.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spacing w:before="6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spacing w:before="60" w:lineRule="auto"/>
              <w:rPr/>
            </w:pPr>
            <w:r w:rsidDel="00000000" w:rsidR="00000000" w:rsidRPr="00000000">
              <w:rPr>
                <w:rtl w:val="0"/>
              </w:rPr>
              <w:t xml:space="preserve">Tanórán kívüli konzultációs időpontok és helyszín:</w:t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6838" w:w="11906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.)"/>
      <w:lvlJc w:val="left"/>
      <w:pPr>
        <w:ind w:left="720" w:hanging="360"/>
      </w:pPr>
      <w:rPr>
        <w:b w:val="1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Times New Roman" w:cs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hu-H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="240" w:lineRule="auto"/>
      <w:ind w:left="0" w:firstLine="0"/>
    </w:pPr>
    <w:rPr>
      <w:rFonts w:ascii="Arial" w:cs="Arial" w:eastAsia="Arial" w:hAnsi="Arial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60" w:before="240" w:line="240" w:lineRule="auto"/>
      <w:ind w:left="0" w:firstLine="0"/>
    </w:pPr>
    <w:rPr>
      <w:rFonts w:ascii="Arial" w:cs="Arial" w:eastAsia="Arial" w:hAnsi="Arial"/>
      <w:b w:val="1"/>
      <w:i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60" w:before="240" w:line="240" w:lineRule="auto"/>
      <w:ind w:left="0" w:firstLine="0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4">
    <w:name w:val="heading 4"/>
    <w:basedOn w:val="Normal"/>
    <w:next w:val="Normal"/>
    <w:pPr>
      <w:keepNext w:val="1"/>
      <w:spacing w:after="60" w:before="240" w:line="240" w:lineRule="auto"/>
      <w:ind w:left="0" w:firstLine="0"/>
    </w:pPr>
    <w:rPr>
      <w:rFonts w:ascii="Times New Roman" w:cs="Times New Roman" w:eastAsia="Times New Roman" w:hAnsi="Times New Roman"/>
      <w:b w:val="1"/>
      <w:i w:val="1"/>
      <w:sz w:val="24"/>
      <w:szCs w:val="24"/>
    </w:rPr>
  </w:style>
  <w:style w:type="paragraph" w:styleId="Heading5">
    <w:name w:val="heading 5"/>
    <w:basedOn w:val="Normal"/>
    <w:next w:val="Normal"/>
    <w:pPr>
      <w:spacing w:after="60" w:before="240" w:line="240" w:lineRule="auto"/>
      <w:ind w:left="0" w:firstLine="0"/>
    </w:pPr>
    <w:rPr>
      <w:rFonts w:ascii="Arial" w:cs="Arial" w:eastAsia="Arial" w:hAnsi="Arial"/>
    </w:rPr>
  </w:style>
  <w:style w:type="paragraph" w:styleId="Heading6">
    <w:name w:val="heading 6"/>
    <w:basedOn w:val="Normal"/>
    <w:next w:val="Normal"/>
    <w:pPr>
      <w:spacing w:after="60" w:before="240" w:line="240" w:lineRule="auto"/>
      <w:ind w:left="0" w:firstLine="0"/>
    </w:pPr>
    <w:rPr>
      <w:rFonts w:ascii="Arial" w:cs="Arial" w:eastAsia="Arial" w:hAnsi="Arial"/>
      <w:i w:val="1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  <w:rsid w:val="00523007"/>
  </w:style>
  <w:style w:type="paragraph" w:styleId="Cmsor1">
    <w:name w:val="heading 1"/>
    <w:basedOn w:val="Norml"/>
    <w:next w:val="Norml"/>
    <w:link w:val="Cmsor1Char"/>
    <w:qFormat w:val="1"/>
    <w:rsid w:val="009D3ADE"/>
    <w:pPr>
      <w:keepNext w:val="1"/>
      <w:numPr>
        <w:numId w:val="19"/>
      </w:numPr>
      <w:spacing w:after="60" w:before="240" w:line="240" w:lineRule="auto"/>
      <w:outlineLvl w:val="0"/>
    </w:pPr>
    <w:rPr>
      <w:rFonts w:ascii="Arial" w:cs="Arial" w:eastAsia="Times New Roman" w:hAnsi="Arial"/>
      <w:b w:val="1"/>
      <w:bCs w:val="1"/>
      <w:kern w:val="28"/>
      <w:sz w:val="28"/>
      <w:szCs w:val="28"/>
      <w:lang w:eastAsia="hu-HU"/>
    </w:rPr>
  </w:style>
  <w:style w:type="paragraph" w:styleId="Cmsor2">
    <w:name w:val="heading 2"/>
    <w:basedOn w:val="Norml"/>
    <w:next w:val="Norml"/>
    <w:link w:val="Cmsor2Char"/>
    <w:semiHidden w:val="1"/>
    <w:unhideWhenUsed w:val="1"/>
    <w:qFormat w:val="1"/>
    <w:rsid w:val="009D3ADE"/>
    <w:pPr>
      <w:keepNext w:val="1"/>
      <w:numPr>
        <w:ilvl w:val="1"/>
        <w:numId w:val="19"/>
      </w:numPr>
      <w:spacing w:after="60" w:before="240" w:line="240" w:lineRule="auto"/>
      <w:outlineLvl w:val="1"/>
    </w:pPr>
    <w:rPr>
      <w:rFonts w:ascii="Arial" w:cs="Arial" w:eastAsia="Times New Roman" w:hAnsi="Arial"/>
      <w:b w:val="1"/>
      <w:bCs w:val="1"/>
      <w:i w:val="1"/>
      <w:iCs w:val="1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unhideWhenUsed w:val="1"/>
    <w:qFormat w:val="1"/>
    <w:rsid w:val="009D3ADE"/>
    <w:pPr>
      <w:keepNext w:val="1"/>
      <w:numPr>
        <w:ilvl w:val="2"/>
        <w:numId w:val="19"/>
      </w:numPr>
      <w:spacing w:after="60" w:before="240" w:line="240" w:lineRule="auto"/>
      <w:outlineLvl w:val="2"/>
    </w:pPr>
    <w:rPr>
      <w:rFonts w:ascii="Times New Roman" w:cs="Times New Roman" w:eastAsia="Times New Roman" w:hAnsi="Times New Roman"/>
      <w:b w:val="1"/>
      <w:bCs w:val="1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semiHidden w:val="1"/>
    <w:unhideWhenUsed w:val="1"/>
    <w:qFormat w:val="1"/>
    <w:rsid w:val="009D3ADE"/>
    <w:pPr>
      <w:keepNext w:val="1"/>
      <w:numPr>
        <w:ilvl w:val="3"/>
        <w:numId w:val="19"/>
      </w:numPr>
      <w:spacing w:after="60" w:before="240" w:line="240" w:lineRule="auto"/>
      <w:outlineLvl w:val="3"/>
    </w:pPr>
    <w:rPr>
      <w:rFonts w:ascii="Times New Roman" w:cs="Times New Roman" w:eastAsia="Times New Roman" w:hAnsi="Times New Roman"/>
      <w:b w:val="1"/>
      <w:bCs w:val="1"/>
      <w:i w:val="1"/>
      <w:iCs w:val="1"/>
      <w:sz w:val="24"/>
      <w:szCs w:val="24"/>
      <w:lang w:eastAsia="hu-HU"/>
    </w:rPr>
  </w:style>
  <w:style w:type="paragraph" w:styleId="Cmsor5">
    <w:name w:val="heading 5"/>
    <w:basedOn w:val="Norml"/>
    <w:next w:val="Norml"/>
    <w:link w:val="Cmsor5Char"/>
    <w:semiHidden w:val="1"/>
    <w:unhideWhenUsed w:val="1"/>
    <w:qFormat w:val="1"/>
    <w:rsid w:val="009D3ADE"/>
    <w:pPr>
      <w:numPr>
        <w:ilvl w:val="4"/>
        <w:numId w:val="19"/>
      </w:numPr>
      <w:spacing w:after="60" w:before="240" w:line="240" w:lineRule="auto"/>
      <w:outlineLvl w:val="4"/>
    </w:pPr>
    <w:rPr>
      <w:rFonts w:ascii="Arial" w:cs="Arial" w:eastAsia="Times New Roman" w:hAnsi="Arial"/>
      <w:lang w:eastAsia="hu-HU"/>
    </w:rPr>
  </w:style>
  <w:style w:type="paragraph" w:styleId="Cmsor6">
    <w:name w:val="heading 6"/>
    <w:basedOn w:val="Norml"/>
    <w:next w:val="Norml"/>
    <w:link w:val="Cmsor6Char"/>
    <w:semiHidden w:val="1"/>
    <w:unhideWhenUsed w:val="1"/>
    <w:qFormat w:val="1"/>
    <w:rsid w:val="009D3ADE"/>
    <w:pPr>
      <w:numPr>
        <w:ilvl w:val="5"/>
        <w:numId w:val="19"/>
      </w:numPr>
      <w:spacing w:after="60" w:before="240" w:line="240" w:lineRule="auto"/>
      <w:outlineLvl w:val="5"/>
    </w:pPr>
    <w:rPr>
      <w:rFonts w:ascii="Arial" w:cs="Arial" w:eastAsia="Times New Roman" w:hAnsi="Arial"/>
      <w:i w:val="1"/>
      <w:iCs w:val="1"/>
      <w:lang w:eastAsia="hu-HU"/>
    </w:rPr>
  </w:style>
  <w:style w:type="paragraph" w:styleId="Cmsor7">
    <w:name w:val="heading 7"/>
    <w:basedOn w:val="Norml"/>
    <w:next w:val="Norml"/>
    <w:link w:val="Cmsor7Char"/>
    <w:semiHidden w:val="1"/>
    <w:unhideWhenUsed w:val="1"/>
    <w:qFormat w:val="1"/>
    <w:rsid w:val="009D3ADE"/>
    <w:pPr>
      <w:numPr>
        <w:ilvl w:val="6"/>
        <w:numId w:val="19"/>
      </w:numPr>
      <w:spacing w:after="60" w:before="240" w:line="240" w:lineRule="auto"/>
      <w:outlineLvl w:val="6"/>
    </w:pPr>
    <w:rPr>
      <w:rFonts w:ascii="Arial" w:cs="Arial" w:eastAsia="PMingLiU" w:hAnsi="Arial"/>
      <w:sz w:val="20"/>
      <w:szCs w:val="20"/>
      <w:lang w:eastAsia="hu-HU"/>
    </w:rPr>
  </w:style>
  <w:style w:type="paragraph" w:styleId="Cmsor8">
    <w:name w:val="heading 8"/>
    <w:basedOn w:val="Norml"/>
    <w:next w:val="Norml"/>
    <w:link w:val="Cmsor8Char"/>
    <w:semiHidden w:val="1"/>
    <w:unhideWhenUsed w:val="1"/>
    <w:qFormat w:val="1"/>
    <w:rsid w:val="009D3ADE"/>
    <w:pPr>
      <w:numPr>
        <w:ilvl w:val="7"/>
        <w:numId w:val="19"/>
      </w:numPr>
      <w:spacing w:after="60" w:before="240" w:line="240" w:lineRule="auto"/>
      <w:outlineLvl w:val="7"/>
    </w:pPr>
    <w:rPr>
      <w:rFonts w:ascii="Arial" w:cs="Arial" w:eastAsia="PMingLiU" w:hAnsi="Arial"/>
      <w:i w:val="1"/>
      <w:iCs w:val="1"/>
      <w:sz w:val="20"/>
      <w:szCs w:val="20"/>
      <w:lang w:eastAsia="hu-HU"/>
    </w:rPr>
  </w:style>
  <w:style w:type="paragraph" w:styleId="Cmsor9">
    <w:name w:val="heading 9"/>
    <w:basedOn w:val="Norml"/>
    <w:next w:val="Norml"/>
    <w:link w:val="Cmsor9Char"/>
    <w:semiHidden w:val="1"/>
    <w:unhideWhenUsed w:val="1"/>
    <w:qFormat w:val="1"/>
    <w:rsid w:val="009D3ADE"/>
    <w:pPr>
      <w:numPr>
        <w:ilvl w:val="8"/>
        <w:numId w:val="19"/>
      </w:numPr>
      <w:spacing w:after="60" w:before="240" w:line="240" w:lineRule="auto"/>
      <w:outlineLvl w:val="8"/>
    </w:pPr>
    <w:rPr>
      <w:rFonts w:ascii="Arial" w:cs="Arial" w:eastAsia="PMingLiU" w:hAnsi="Arial"/>
      <w:i w:val="1"/>
      <w:iCs w:val="1"/>
      <w:sz w:val="18"/>
      <w:szCs w:val="18"/>
      <w:lang w:eastAsia="hu-HU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paragraph" w:styleId="Listaszerbekezds">
    <w:name w:val="List Paragraph"/>
    <w:basedOn w:val="Norml"/>
    <w:uiPriority w:val="34"/>
    <w:qFormat w:val="1"/>
    <w:rsid w:val="008841FF"/>
    <w:pPr>
      <w:ind w:left="720"/>
      <w:contextualSpacing w:val="1"/>
    </w:pPr>
  </w:style>
  <w:style w:type="paragraph" w:styleId="Lbjegyzetszveg">
    <w:name w:val="footnote text"/>
    <w:basedOn w:val="Norml"/>
    <w:link w:val="LbjegyzetszvegChar"/>
    <w:uiPriority w:val="99"/>
    <w:semiHidden w:val="1"/>
    <w:unhideWhenUsed w:val="1"/>
    <w:rsid w:val="00F151BF"/>
    <w:pPr>
      <w:spacing w:after="0" w:line="240" w:lineRule="auto"/>
    </w:pPr>
    <w:rPr>
      <w:sz w:val="20"/>
      <w:szCs w:val="20"/>
    </w:rPr>
  </w:style>
  <w:style w:type="character" w:styleId="LbjegyzetszvegChar" w:customStyle="1">
    <w:name w:val="Lábjegyzetszöveg Char"/>
    <w:basedOn w:val="Bekezdsalapbettpusa"/>
    <w:link w:val="Lbjegyzetszveg"/>
    <w:uiPriority w:val="99"/>
    <w:semiHidden w:val="1"/>
    <w:rsid w:val="00F151BF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 w:val="1"/>
    <w:unhideWhenUsed w:val="1"/>
    <w:rsid w:val="00F151BF"/>
    <w:rPr>
      <w:vertAlign w:val="superscript"/>
    </w:rPr>
  </w:style>
  <w:style w:type="character" w:styleId="Hiperhivatkozs">
    <w:name w:val="Hyperlink"/>
    <w:basedOn w:val="Bekezdsalapbettpusa"/>
    <w:uiPriority w:val="99"/>
    <w:unhideWhenUsed w:val="1"/>
    <w:rsid w:val="00F151BF"/>
    <w:rPr>
      <w:color w:val="0563c1" w:themeColor="hyperlink"/>
      <w:u w:val="single"/>
    </w:rPr>
  </w:style>
  <w:style w:type="character" w:styleId="Cmsor1Char" w:customStyle="1">
    <w:name w:val="Címsor 1 Char"/>
    <w:basedOn w:val="Bekezdsalapbettpusa"/>
    <w:link w:val="Cmsor1"/>
    <w:rsid w:val="009D3ADE"/>
    <w:rPr>
      <w:rFonts w:ascii="Arial" w:cs="Arial" w:eastAsia="Times New Roman" w:hAnsi="Arial"/>
      <w:b w:val="1"/>
      <w:bCs w:val="1"/>
      <w:kern w:val="28"/>
      <w:sz w:val="28"/>
      <w:szCs w:val="28"/>
      <w:lang w:eastAsia="hu-HU"/>
    </w:rPr>
  </w:style>
  <w:style w:type="character" w:styleId="Cmsor2Char" w:customStyle="1">
    <w:name w:val="Címsor 2 Char"/>
    <w:basedOn w:val="Bekezdsalapbettpusa"/>
    <w:link w:val="Cmsor2"/>
    <w:semiHidden w:val="1"/>
    <w:rsid w:val="009D3ADE"/>
    <w:rPr>
      <w:rFonts w:ascii="Arial" w:cs="Arial" w:eastAsia="Times New Roman" w:hAnsi="Arial"/>
      <w:b w:val="1"/>
      <w:bCs w:val="1"/>
      <w:i w:val="1"/>
      <w:iCs w:val="1"/>
      <w:sz w:val="24"/>
      <w:szCs w:val="24"/>
      <w:lang w:eastAsia="hu-HU"/>
    </w:rPr>
  </w:style>
  <w:style w:type="character" w:styleId="Cmsor3Char" w:customStyle="1">
    <w:name w:val="Címsor 3 Char"/>
    <w:basedOn w:val="Bekezdsalapbettpusa"/>
    <w:link w:val="Cmsor3"/>
    <w:rsid w:val="009D3ADE"/>
    <w:rPr>
      <w:rFonts w:ascii="Times New Roman" w:cs="Times New Roman" w:eastAsia="Times New Roman" w:hAnsi="Times New Roman"/>
      <w:b w:val="1"/>
      <w:bCs w:val="1"/>
      <w:sz w:val="24"/>
      <w:szCs w:val="24"/>
      <w:lang w:eastAsia="hu-HU"/>
    </w:rPr>
  </w:style>
  <w:style w:type="character" w:styleId="Cmsor4Char" w:customStyle="1">
    <w:name w:val="Címsor 4 Char"/>
    <w:basedOn w:val="Bekezdsalapbettpusa"/>
    <w:link w:val="Cmsor4"/>
    <w:semiHidden w:val="1"/>
    <w:rsid w:val="009D3ADE"/>
    <w:rPr>
      <w:rFonts w:ascii="Times New Roman" w:cs="Times New Roman" w:eastAsia="Times New Roman" w:hAnsi="Times New Roman"/>
      <w:b w:val="1"/>
      <w:bCs w:val="1"/>
      <w:i w:val="1"/>
      <w:iCs w:val="1"/>
      <w:sz w:val="24"/>
      <w:szCs w:val="24"/>
      <w:lang w:eastAsia="hu-HU"/>
    </w:rPr>
  </w:style>
  <w:style w:type="character" w:styleId="Cmsor5Char" w:customStyle="1">
    <w:name w:val="Címsor 5 Char"/>
    <w:basedOn w:val="Bekezdsalapbettpusa"/>
    <w:link w:val="Cmsor5"/>
    <w:semiHidden w:val="1"/>
    <w:rsid w:val="009D3ADE"/>
    <w:rPr>
      <w:rFonts w:ascii="Arial" w:cs="Arial" w:eastAsia="Times New Roman" w:hAnsi="Arial"/>
      <w:lang w:eastAsia="hu-HU"/>
    </w:rPr>
  </w:style>
  <w:style w:type="character" w:styleId="Cmsor6Char" w:customStyle="1">
    <w:name w:val="Címsor 6 Char"/>
    <w:basedOn w:val="Bekezdsalapbettpusa"/>
    <w:link w:val="Cmsor6"/>
    <w:semiHidden w:val="1"/>
    <w:rsid w:val="009D3ADE"/>
    <w:rPr>
      <w:rFonts w:ascii="Arial" w:cs="Arial" w:eastAsia="Times New Roman" w:hAnsi="Arial"/>
      <w:i w:val="1"/>
      <w:iCs w:val="1"/>
      <w:lang w:eastAsia="hu-HU"/>
    </w:rPr>
  </w:style>
  <w:style w:type="character" w:styleId="Cmsor7Char" w:customStyle="1">
    <w:name w:val="Címsor 7 Char"/>
    <w:basedOn w:val="Bekezdsalapbettpusa"/>
    <w:link w:val="Cmsor7"/>
    <w:semiHidden w:val="1"/>
    <w:rsid w:val="009D3ADE"/>
    <w:rPr>
      <w:rFonts w:ascii="Arial" w:cs="Arial" w:eastAsia="PMingLiU" w:hAnsi="Arial"/>
      <w:sz w:val="20"/>
      <w:szCs w:val="20"/>
      <w:lang w:eastAsia="hu-HU"/>
    </w:rPr>
  </w:style>
  <w:style w:type="character" w:styleId="Cmsor8Char" w:customStyle="1">
    <w:name w:val="Címsor 8 Char"/>
    <w:basedOn w:val="Bekezdsalapbettpusa"/>
    <w:link w:val="Cmsor8"/>
    <w:semiHidden w:val="1"/>
    <w:rsid w:val="009D3ADE"/>
    <w:rPr>
      <w:rFonts w:ascii="Arial" w:cs="Arial" w:eastAsia="PMingLiU" w:hAnsi="Arial"/>
      <w:i w:val="1"/>
      <w:iCs w:val="1"/>
      <w:sz w:val="20"/>
      <w:szCs w:val="20"/>
      <w:lang w:eastAsia="hu-HU"/>
    </w:rPr>
  </w:style>
  <w:style w:type="character" w:styleId="Cmsor9Char" w:customStyle="1">
    <w:name w:val="Címsor 9 Char"/>
    <w:basedOn w:val="Bekezdsalapbettpusa"/>
    <w:link w:val="Cmsor9"/>
    <w:semiHidden w:val="1"/>
    <w:rsid w:val="009D3ADE"/>
    <w:rPr>
      <w:rFonts w:ascii="Arial" w:cs="Arial" w:eastAsia="PMingLiU" w:hAnsi="Arial"/>
      <w:i w:val="1"/>
      <w:iCs w:val="1"/>
      <w:sz w:val="18"/>
      <w:szCs w:val="18"/>
      <w:lang w:eastAsia="hu-HU"/>
    </w:rPr>
  </w:style>
  <w:style w:type="paragraph" w:styleId="Listaszerbekezds1" w:customStyle="1">
    <w:name w:val="Listaszerű bekezdés1"/>
    <w:basedOn w:val="Norml"/>
    <w:rsid w:val="009D3ADE"/>
    <w:pPr>
      <w:spacing w:after="0" w:line="240" w:lineRule="auto"/>
      <w:ind w:left="720" w:firstLine="567"/>
      <w:contextualSpacing w:val="1"/>
      <w:jc w:val="both"/>
    </w:pPr>
    <w:rPr>
      <w:rFonts w:ascii="Calibri" w:cs="Calibri" w:eastAsia="PMingLiU" w:hAnsi="Calibri"/>
      <w:sz w:val="24"/>
      <w:szCs w:val="24"/>
    </w:rPr>
  </w:style>
  <w:style w:type="paragraph" w:styleId="lfej">
    <w:name w:val="header"/>
    <w:basedOn w:val="Norml"/>
    <w:link w:val="lfejChar"/>
    <w:uiPriority w:val="99"/>
    <w:unhideWhenUsed w:val="1"/>
    <w:rsid w:val="00A71FF8"/>
    <w:pPr>
      <w:tabs>
        <w:tab w:val="center" w:pos="4536"/>
        <w:tab w:val="right" w:pos="9072"/>
      </w:tabs>
      <w:spacing w:after="0" w:line="240" w:lineRule="auto"/>
    </w:pPr>
  </w:style>
  <w:style w:type="character" w:styleId="lfejChar" w:customStyle="1">
    <w:name w:val="Élőfej Char"/>
    <w:basedOn w:val="Bekezdsalapbettpusa"/>
    <w:link w:val="lfej"/>
    <w:uiPriority w:val="99"/>
    <w:rsid w:val="00A71FF8"/>
  </w:style>
  <w:style w:type="paragraph" w:styleId="llb">
    <w:name w:val="footer"/>
    <w:basedOn w:val="Norml"/>
    <w:link w:val="llbChar"/>
    <w:uiPriority w:val="99"/>
    <w:unhideWhenUsed w:val="1"/>
    <w:rsid w:val="00A71FF8"/>
    <w:pPr>
      <w:tabs>
        <w:tab w:val="center" w:pos="4536"/>
        <w:tab w:val="right" w:pos="9072"/>
      </w:tabs>
      <w:spacing w:after="0" w:line="240" w:lineRule="auto"/>
    </w:pPr>
  </w:style>
  <w:style w:type="character" w:styleId="llbChar" w:customStyle="1">
    <w:name w:val="Élőláb Char"/>
    <w:basedOn w:val="Bekezdsalapbettpusa"/>
    <w:link w:val="llb"/>
    <w:uiPriority w:val="99"/>
    <w:rsid w:val="00A71FF8"/>
  </w:style>
  <w:style w:type="table" w:styleId="Rcsostblzat">
    <w:name w:val="Table Grid"/>
    <w:basedOn w:val="Normltblzat"/>
    <w:uiPriority w:val="39"/>
    <w:rsid w:val="00393E11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Jegyzethivatkozs">
    <w:name w:val="annotation reference"/>
    <w:basedOn w:val="Bekezdsalapbettpusa"/>
    <w:uiPriority w:val="99"/>
    <w:semiHidden w:val="1"/>
    <w:unhideWhenUsed w:val="1"/>
    <w:rsid w:val="0059223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 w:val="1"/>
    <w:unhideWhenUsed w:val="1"/>
    <w:rsid w:val="00592235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 w:val="1"/>
    <w:rsid w:val="00592235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 w:val="1"/>
    <w:unhideWhenUsed w:val="1"/>
    <w:rsid w:val="00592235"/>
    <w:rPr>
      <w:b w:val="1"/>
      <w:bCs w:val="1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 w:val="1"/>
    <w:rsid w:val="00592235"/>
    <w:rPr>
      <w:b w:val="1"/>
      <w:bCs w:val="1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59223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592235"/>
    <w:rPr>
      <w:rFonts w:ascii="Segoe UI" w:cs="Segoe UI" w:hAnsi="Segoe UI"/>
      <w:sz w:val="18"/>
      <w:szCs w:val="18"/>
    </w:rPr>
  </w:style>
  <w:style w:type="character" w:styleId="Kiemels2">
    <w:name w:val="Strong"/>
    <w:basedOn w:val="Bekezdsalapbettpusa"/>
    <w:uiPriority w:val="22"/>
    <w:qFormat w:val="1"/>
    <w:rsid w:val="00E332B3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kondor@mom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nsnMNXHINhr/r9og1yYNq6Elzg==">AMUW2mXoQ3h7ppIHjgIjvZNfsRj+zfVIs2Sv4hNLJyW1lbG0YoQqIE6rEkj/C9ciQp20qRQZtFEJTBrE+NWGDn/0QWAzl/2D7tYtcS65nJcj9hb0QLDKdfsaKq2H6Q7PlyJ1pt7CD9eL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2021-08-24T11:43:00Z</dcterms:created>
  <dc:creator>Plank Lívia</dc:creator>
</cp:coreProperties>
</file>