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Kurzusleírás (tematika)</w:t>
      </w:r>
    </w:p>
    <w:tbl>
      <w:tblPr>
        <w:tblStyle w:val="Table1"/>
        <w:tblW w:w="9498.0" w:type="dxa"/>
        <w:jc w:val="left"/>
        <w:tblInd w:w="-1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200"/>
        <w:gridCol w:w="1911"/>
        <w:gridCol w:w="1560"/>
        <w:gridCol w:w="1559"/>
        <w:gridCol w:w="2268"/>
        <w:tblGridChange w:id="0">
          <w:tblGrid>
            <w:gridCol w:w="2200"/>
            <w:gridCol w:w="1911"/>
            <w:gridCol w:w="1560"/>
            <w:gridCol w:w="1559"/>
            <w:gridCol w:w="2268"/>
          </w:tblGrid>
        </w:tblGridChange>
      </w:tblGrid>
      <w:tr>
        <w:trPr>
          <w:cantSplit w:val="0"/>
          <w:trHeight w:val="567" w:hRule="atLeast"/>
          <w:tblHeader w:val="0"/>
        </w:trPr>
        <w:tc>
          <w:tcPr>
            <w:gridSpan w:val="5"/>
          </w:tcPr>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Kurzus neve: Experimental design 1. (BA2 Rajz3)</w:t>
            </w:r>
          </w:p>
        </w:tc>
      </w:tr>
      <w:tr>
        <w:trPr>
          <w:cantSplit w:val="0"/>
          <w:trHeight w:val="567" w:hRule="atLeast"/>
          <w:tblHeader w:val="0"/>
        </w:trPr>
        <w:tc>
          <w:tcPr>
            <w:gridSpan w:val="5"/>
          </w:tcPr>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bookmarkStart w:colFirst="0" w:colLast="0" w:name="_1fob9te" w:id="2"/>
            <w:bookmarkEnd w:id="2"/>
            <w:r w:rsidDel="00000000" w:rsidR="00000000" w:rsidRPr="00000000">
              <w:rPr>
                <w:rFonts w:ascii="Times New Roman" w:cs="Times New Roman" w:eastAsia="Times New Roman" w:hAnsi="Times New Roman"/>
                <w:sz w:val="24"/>
                <w:szCs w:val="24"/>
                <w:rtl w:val="0"/>
              </w:rPr>
              <w:t xml:space="preserve">A kurzus oktatója: Szegedi Csaba DLA habil, egy. doc.</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elérhetősége(i):</w:t>
            </w:r>
            <w:r w:rsidDel="00000000" w:rsidR="00000000" w:rsidRPr="00000000">
              <w:rPr>
                <w:rtl w:val="0"/>
              </w:rPr>
              <w:t xml:space="preserve"> </w:t>
            </w:r>
            <w:hyperlink r:id="rId6">
              <w:r w:rsidDel="00000000" w:rsidR="00000000" w:rsidRPr="00000000">
                <w:rPr>
                  <w:rFonts w:ascii="Times New Roman" w:cs="Times New Roman" w:eastAsia="Times New Roman" w:hAnsi="Times New Roman"/>
                  <w:color w:val="0563c1"/>
                  <w:sz w:val="24"/>
                  <w:szCs w:val="24"/>
                  <w:u w:val="single"/>
                  <w:rtl w:val="0"/>
                </w:rPr>
                <w:t xml:space="preserve">szegedi@mome.hu</w:t>
              </w:r>
            </w:hyperlink>
            <w:r w:rsidDel="00000000" w:rsidR="00000000" w:rsidRPr="00000000">
              <w:rPr>
                <w:rFonts w:ascii="Times New Roman" w:cs="Times New Roman" w:eastAsia="Times New Roman" w:hAnsi="Times New Roman"/>
                <w:sz w:val="24"/>
                <w:szCs w:val="24"/>
                <w:rtl w:val="0"/>
              </w:rPr>
              <w:t xml:space="preserve"> +36 20 4608055, FB, Skype: SzCs24</w:t>
            </w:r>
          </w:p>
        </w:tc>
      </w:tr>
      <w:tr>
        <w:trPr>
          <w:cantSplit w:val="0"/>
          <w:trHeight w:val="705" w:hRule="atLeast"/>
          <w:tblHeader w:val="0"/>
        </w:trPr>
        <w:tc>
          <w:tcPr/>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Kód:</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B-FR-301-Rajz</w:t>
            </w:r>
          </w:p>
        </w:tc>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Kapcsolódó tanterv (szak/szint): </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Formatervezés BA2</w:t>
            </w:r>
            <w:r w:rsidDel="00000000" w:rsidR="00000000" w:rsidRPr="00000000">
              <w:rPr>
                <w:rtl w:val="0"/>
              </w:rPr>
            </w:r>
          </w:p>
        </w:tc>
        <w:tc>
          <w:tcPr/>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Javasolt félév:</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2.félév/őszi szemeszter</w:t>
            </w:r>
          </w:p>
        </w:tc>
        <w:tc>
          <w:tcPr/>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Kredit:</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kredit (a teljes tantárgy)</w:t>
            </w:r>
          </w:p>
        </w:tc>
        <w:tc>
          <w:tcPr/>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Tanóraszám:36</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Egyéni hallgatói munkaóra: 60</w:t>
            </w:r>
          </w:p>
        </w:tc>
      </w:tr>
      <w:tr>
        <w:trPr>
          <w:cantSplit w:val="0"/>
          <w:trHeight w:val="705" w:hRule="atLeast"/>
          <w:tblHeader w:val="0"/>
        </w:trPr>
        <w:tc>
          <w:tcPr/>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Kapcsolt kódok:</w:t>
            </w:r>
          </w:p>
        </w:tc>
        <w:tc>
          <w:tcPr/>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Típus: (szeminárium/</w:t>
            </w:r>
            <w:r w:rsidDel="00000000" w:rsidR="00000000" w:rsidRPr="00000000">
              <w:rPr>
                <w:rFonts w:ascii="Times New Roman" w:cs="Times New Roman" w:eastAsia="Times New Roman" w:hAnsi="Times New Roman"/>
                <w:sz w:val="24"/>
                <w:szCs w:val="24"/>
                <w:u w:val="single"/>
                <w:rtl w:val="0"/>
              </w:rPr>
              <w:t xml:space="preserve">előadás/gyakorlat</w:t>
            </w:r>
            <w:r w:rsidDel="00000000" w:rsidR="00000000" w:rsidRPr="00000000">
              <w:rPr>
                <w:rFonts w:ascii="Times New Roman" w:cs="Times New Roman" w:eastAsia="Times New Roman" w:hAnsi="Times New Roman"/>
                <w:sz w:val="24"/>
                <w:szCs w:val="24"/>
                <w:rtl w:val="0"/>
              </w:rPr>
              <w:t xml:space="preserve">/konzultáció stb.)</w:t>
            </w:r>
          </w:p>
        </w:tc>
        <w:tc>
          <w:tcPr/>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Szab.vál-ként felvehető-e?</w:t>
            </w:r>
          </w:p>
        </w:tc>
        <w:tc>
          <w:tcPr>
            <w:gridSpan w:val="2"/>
          </w:tcPr>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Szab.vál. esetén sajátos előfeltételek:</w:t>
            </w:r>
          </w:p>
          <w:p w:rsidR="00000000" w:rsidDel="00000000" w:rsidP="00000000" w:rsidRDefault="00000000" w:rsidRPr="00000000" w14:paraId="0000001B">
            <w:pPr>
              <w:tabs>
                <w:tab w:val="left" w:pos="448"/>
                <w:tab w:val="left" w:pos="2173"/>
              </w:tabs>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05" w:hRule="atLeast"/>
          <w:tblHeader w:val="0"/>
        </w:trPr>
        <w:tc>
          <w:tcPr>
            <w:gridSpan w:val="5"/>
          </w:tcPr>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kurzus kapcsolatai (előfeltételek, párhuzamosságok):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előfeltétel: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párhuzamos kurzusok:</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B-FR-301-TERVEZES vagy B-FR-301-JARMUVES-PROJEKT (Járműves specializációra járó hallgató esetében)</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B-FR-301-MINTAZAS</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903" w:hRule="atLeast"/>
          <w:tblHeader w:val="0"/>
        </w:trPr>
        <w:tc>
          <w:tcPr>
            <w:gridSpan w:val="5"/>
          </w:tcPr>
          <w:p w:rsidR="00000000" w:rsidDel="00000000" w:rsidP="00000000" w:rsidRDefault="00000000" w:rsidRPr="00000000" w14:paraId="00000027">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 kurzus célja és alapelvei: </w:t>
            </w:r>
          </w:p>
          <w:p w:rsidR="00000000" w:rsidDel="00000000" w:rsidP="00000000" w:rsidRDefault="00000000" w:rsidRPr="00000000" w14:paraId="00000028">
            <w:pPr>
              <w:rPr>
                <w:rFonts w:ascii="Book Antiqua" w:cs="Book Antiqua" w:eastAsia="Book Antiqua" w:hAnsi="Book Antiqua"/>
                <w:sz w:val="24"/>
                <w:szCs w:val="24"/>
              </w:rPr>
            </w:pPr>
            <w:r w:rsidDel="00000000" w:rsidR="00000000" w:rsidRPr="00000000">
              <w:rPr>
                <w:rFonts w:ascii="Times New Roman" w:cs="Times New Roman" w:eastAsia="Times New Roman" w:hAnsi="Times New Roman"/>
                <w:sz w:val="24"/>
                <w:szCs w:val="24"/>
                <w:rtl w:val="0"/>
              </w:rPr>
              <w:t xml:space="preserve">A kurzus célja a tér-forma-fény- és szín összefüggéseinek vizsgálata, megismertetése, ezen keresztül a tervezéshez szükséges alapvető ábrázolási és vizualizáló képesség kialakítása, a plasztikus és szuggesztív megjelenítő készség elsajátítása.</w:t>
            </w:r>
            <w:r w:rsidDel="00000000" w:rsidR="00000000" w:rsidRPr="00000000">
              <w:rPr>
                <w:rtl w:val="0"/>
              </w:rPr>
            </w:r>
          </w:p>
          <w:p w:rsidR="00000000" w:rsidDel="00000000" w:rsidP="00000000" w:rsidRDefault="00000000" w:rsidRPr="00000000" w14:paraId="00000029">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Több évtizedes oktatói gyakorlatom tapasztalata, hogy hallgatók gyakran sokéves művészeti képzés után sem igazodnak el jobban a színek rendszerében, mint a „tetszik-nemtetszik” esetleges, érzelmi megközelítés alapján. </w:t>
            </w:r>
          </w:p>
          <w:p w:rsidR="00000000" w:rsidDel="00000000" w:rsidP="00000000" w:rsidRDefault="00000000" w:rsidRPr="00000000" w14:paraId="0000002A">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 formatervező hallgatók számára nélkülözhetetlen a színben látás, színben gondolkodás képességének megszerzése, hiszen a forma, a tárgy a szín által válik láthatóvá, és a professzionális tervezés szempontjai nem nélkülözhetik a színek hatásait a formaalakító képességtől a pszichikai vonatkozásokon át a szimbolikus, szemantikai jelentésekig.</w:t>
            </w:r>
          </w:p>
          <w:p w:rsidR="00000000" w:rsidDel="00000000" w:rsidP="00000000" w:rsidRDefault="00000000" w:rsidRPr="00000000" w14:paraId="0000002B">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 hallgatóknak magabiztos szakmai jártasságot kell szerezniük a színdinamika objektív, vizuális törvényszerűségeit illetően, a színeket tudatos szakmai szempontok alapján kell tudniuk alkalmazni, hiszen a személyes kreatív tervezői szabadság itt is csupán az általános és objektív szabályok ismeretében érhető el.</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Book Antiqua" w:cs="Book Antiqua" w:eastAsia="Book Antiqua" w:hAnsi="Book Antiqua"/>
                <w:sz w:val="24"/>
                <w:szCs w:val="24"/>
                <w:rtl w:val="0"/>
              </w:rPr>
              <w:t xml:space="preserve">A szemeszter egy olyan programot kínál a hallgatóknak, mely a színdinamika törvényszerűségei szerint felépített speciális festési feladatsoron keresztül segíti a színek világában való eligazodás, a színdinamikai összefüggések kreatív alkalmazásának elsajátítását. A műtermi analóg gyakorlatokat kreatív digitális feladatok egészítik ki.</w:t>
            </w:r>
            <w:r w:rsidDel="00000000" w:rsidR="00000000" w:rsidRPr="00000000">
              <w:rPr>
                <w:rtl w:val="0"/>
              </w:rPr>
            </w:r>
          </w:p>
        </w:tc>
      </w:tr>
      <w:tr>
        <w:trPr>
          <w:cantSplit w:val="0"/>
          <w:trHeight w:val="1798" w:hRule="atLeast"/>
          <w:tblHeader w:val="0"/>
        </w:trPr>
        <w:tc>
          <w:tcPr>
            <w:gridSpan w:val="5"/>
            <w:tcBorders>
              <w:top w:color="000000" w:space="0" w:sz="4" w:val="single"/>
            </w:tcBorders>
          </w:tcPr>
          <w:p w:rsidR="00000000" w:rsidDel="00000000" w:rsidP="00000000" w:rsidRDefault="00000000" w:rsidRPr="00000000" w14:paraId="00000031">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 kurzus keretében feldolgozandó feladatok, témakörök, témák: </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numPr>
                <w:ilvl w:val="0"/>
                <w:numId w:val="4"/>
              </w:numPr>
              <w:tabs>
                <w:tab w:val="left" w:pos="720"/>
              </w:tabs>
              <w:spacing w:after="0" w:line="240" w:lineRule="auto"/>
              <w:ind w:left="720" w:hanging="360"/>
              <w:rPr>
                <w:sz w:val="24"/>
                <w:szCs w:val="24"/>
              </w:rPr>
            </w:pPr>
            <w:r w:rsidDel="00000000" w:rsidR="00000000" w:rsidRPr="00000000">
              <w:rPr>
                <w:rFonts w:ascii="Book Antiqua" w:cs="Book Antiqua" w:eastAsia="Book Antiqua" w:hAnsi="Book Antiqua"/>
                <w:sz w:val="24"/>
                <w:szCs w:val="24"/>
                <w:rtl w:val="0"/>
              </w:rPr>
              <w:t xml:space="preserve">Lokális szín- valőrszín  (</w:t>
            </w:r>
            <w:r w:rsidDel="00000000" w:rsidR="00000000" w:rsidRPr="00000000">
              <w:rPr>
                <w:rFonts w:ascii="Book Antiqua" w:cs="Book Antiqua" w:eastAsia="Book Antiqua" w:hAnsi="Book Antiqua"/>
                <w:i w:val="1"/>
                <w:sz w:val="24"/>
                <w:szCs w:val="24"/>
                <w:rtl w:val="0"/>
              </w:rPr>
              <w:t xml:space="preserve">magában való színkontraszt</w:t>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34">
            <w:pPr>
              <w:numPr>
                <w:ilvl w:val="0"/>
                <w:numId w:val="4"/>
              </w:numPr>
              <w:tabs>
                <w:tab w:val="left" w:pos="720"/>
              </w:tabs>
              <w:spacing w:after="0" w:line="240" w:lineRule="auto"/>
              <w:ind w:left="720" w:hanging="360"/>
              <w:rPr>
                <w:sz w:val="24"/>
                <w:szCs w:val="24"/>
              </w:rPr>
            </w:pPr>
            <w:r w:rsidDel="00000000" w:rsidR="00000000" w:rsidRPr="00000000">
              <w:rPr>
                <w:rFonts w:ascii="Book Antiqua" w:cs="Book Antiqua" w:eastAsia="Book Antiqua" w:hAnsi="Book Antiqua"/>
                <w:sz w:val="24"/>
                <w:szCs w:val="24"/>
                <w:rtl w:val="0"/>
              </w:rPr>
              <w:t xml:space="preserve">tónus, grisaille, monokróm (</w:t>
            </w:r>
            <w:r w:rsidDel="00000000" w:rsidR="00000000" w:rsidRPr="00000000">
              <w:rPr>
                <w:rFonts w:ascii="Book Antiqua" w:cs="Book Antiqua" w:eastAsia="Book Antiqua" w:hAnsi="Book Antiqua"/>
                <w:i w:val="1"/>
                <w:sz w:val="24"/>
                <w:szCs w:val="24"/>
                <w:rtl w:val="0"/>
              </w:rPr>
              <w:t xml:space="preserve">fény-árnyék kontraszt</w:t>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35">
            <w:pPr>
              <w:numPr>
                <w:ilvl w:val="0"/>
                <w:numId w:val="4"/>
              </w:numPr>
              <w:tabs>
                <w:tab w:val="left" w:pos="720"/>
              </w:tabs>
              <w:spacing w:after="0" w:line="240" w:lineRule="auto"/>
              <w:ind w:left="720" w:hanging="360"/>
              <w:rPr>
                <w:sz w:val="24"/>
                <w:szCs w:val="24"/>
              </w:rPr>
            </w:pPr>
            <w:r w:rsidDel="00000000" w:rsidR="00000000" w:rsidRPr="00000000">
              <w:rPr>
                <w:rFonts w:ascii="Book Antiqua" w:cs="Book Antiqua" w:eastAsia="Book Antiqua" w:hAnsi="Book Antiqua"/>
                <w:sz w:val="24"/>
                <w:szCs w:val="24"/>
                <w:rtl w:val="0"/>
              </w:rPr>
              <w:t xml:space="preserve">természetes fény-mesterséges fény (</w:t>
            </w:r>
            <w:r w:rsidDel="00000000" w:rsidR="00000000" w:rsidRPr="00000000">
              <w:rPr>
                <w:rFonts w:ascii="Book Antiqua" w:cs="Book Antiqua" w:eastAsia="Book Antiqua" w:hAnsi="Book Antiqua"/>
                <w:i w:val="1"/>
                <w:sz w:val="24"/>
                <w:szCs w:val="24"/>
                <w:rtl w:val="0"/>
              </w:rPr>
              <w:t xml:space="preserve">hideg-meleg kontraszt</w:t>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36">
            <w:pPr>
              <w:numPr>
                <w:ilvl w:val="0"/>
                <w:numId w:val="4"/>
              </w:numPr>
              <w:tabs>
                <w:tab w:val="left" w:pos="720"/>
              </w:tabs>
              <w:spacing w:after="0" w:line="240" w:lineRule="auto"/>
              <w:ind w:left="720" w:hanging="360"/>
              <w:rPr>
                <w:sz w:val="24"/>
                <w:szCs w:val="24"/>
              </w:rPr>
            </w:pPr>
            <w:r w:rsidDel="00000000" w:rsidR="00000000" w:rsidRPr="00000000">
              <w:rPr>
                <w:rFonts w:ascii="Book Antiqua" w:cs="Book Antiqua" w:eastAsia="Book Antiqua" w:hAnsi="Book Antiqua"/>
                <w:sz w:val="24"/>
                <w:szCs w:val="24"/>
                <w:rtl w:val="0"/>
              </w:rPr>
              <w:t xml:space="preserve">fényszín-árnyékszín (fény-árnyék kontraszt)</w:t>
            </w:r>
          </w:p>
          <w:p w:rsidR="00000000" w:rsidDel="00000000" w:rsidP="00000000" w:rsidRDefault="00000000" w:rsidRPr="00000000" w14:paraId="00000037">
            <w:pPr>
              <w:numPr>
                <w:ilvl w:val="0"/>
                <w:numId w:val="4"/>
              </w:numPr>
              <w:tabs>
                <w:tab w:val="left" w:pos="720"/>
              </w:tabs>
              <w:spacing w:after="0" w:line="240" w:lineRule="auto"/>
              <w:ind w:left="720" w:hanging="360"/>
              <w:rPr>
                <w:sz w:val="24"/>
                <w:szCs w:val="24"/>
              </w:rPr>
            </w:pPr>
            <w:r w:rsidDel="00000000" w:rsidR="00000000" w:rsidRPr="00000000">
              <w:rPr>
                <w:rFonts w:ascii="Book Antiqua" w:cs="Book Antiqua" w:eastAsia="Book Antiqua" w:hAnsi="Book Antiqua"/>
                <w:sz w:val="24"/>
                <w:szCs w:val="24"/>
                <w:rtl w:val="0"/>
              </w:rPr>
              <w:t xml:space="preserve">fényszín-árnyékszín (hideg-meleg kontraszt)</w:t>
            </w:r>
          </w:p>
          <w:p w:rsidR="00000000" w:rsidDel="00000000" w:rsidP="00000000" w:rsidRDefault="00000000" w:rsidRPr="00000000" w14:paraId="00000038">
            <w:pPr>
              <w:numPr>
                <w:ilvl w:val="0"/>
                <w:numId w:val="4"/>
              </w:numPr>
              <w:tabs>
                <w:tab w:val="left" w:pos="720"/>
              </w:tabs>
              <w:spacing w:after="0" w:line="240" w:lineRule="auto"/>
              <w:ind w:left="720" w:hanging="360"/>
              <w:rPr>
                <w:sz w:val="24"/>
                <w:szCs w:val="24"/>
              </w:rPr>
            </w:pPr>
            <w:r w:rsidDel="00000000" w:rsidR="00000000" w:rsidRPr="00000000">
              <w:rPr>
                <w:rFonts w:ascii="Book Antiqua" w:cs="Book Antiqua" w:eastAsia="Book Antiqua" w:hAnsi="Book Antiqua"/>
                <w:sz w:val="24"/>
                <w:szCs w:val="24"/>
                <w:rtl w:val="0"/>
              </w:rPr>
              <w:t xml:space="preserve">fényszín-árnyékszín (</w:t>
            </w:r>
            <w:r w:rsidDel="00000000" w:rsidR="00000000" w:rsidRPr="00000000">
              <w:rPr>
                <w:rFonts w:ascii="Book Antiqua" w:cs="Book Antiqua" w:eastAsia="Book Antiqua" w:hAnsi="Book Antiqua"/>
                <w:i w:val="1"/>
                <w:sz w:val="24"/>
                <w:szCs w:val="24"/>
                <w:rtl w:val="0"/>
              </w:rPr>
              <w:t xml:space="preserve">komplementer kontraszt</w:t>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39">
            <w:pPr>
              <w:numPr>
                <w:ilvl w:val="0"/>
                <w:numId w:val="4"/>
              </w:numPr>
              <w:tabs>
                <w:tab w:val="left" w:pos="720"/>
              </w:tabs>
              <w:spacing w:after="0" w:line="240" w:lineRule="auto"/>
              <w:ind w:left="720" w:hanging="360"/>
              <w:rPr>
                <w:sz w:val="24"/>
                <w:szCs w:val="24"/>
              </w:rPr>
            </w:pPr>
            <w:r w:rsidDel="00000000" w:rsidR="00000000" w:rsidRPr="00000000">
              <w:rPr>
                <w:rFonts w:ascii="Book Antiqua" w:cs="Book Antiqua" w:eastAsia="Book Antiqua" w:hAnsi="Book Antiqua"/>
                <w:sz w:val="24"/>
                <w:szCs w:val="24"/>
                <w:rtl w:val="0"/>
              </w:rPr>
              <w:t xml:space="preserve">méret, felület, kiterjedés, (</w:t>
            </w:r>
            <w:r w:rsidDel="00000000" w:rsidR="00000000" w:rsidRPr="00000000">
              <w:rPr>
                <w:rFonts w:ascii="Book Antiqua" w:cs="Book Antiqua" w:eastAsia="Book Antiqua" w:hAnsi="Book Antiqua"/>
                <w:i w:val="1"/>
                <w:sz w:val="24"/>
                <w:szCs w:val="24"/>
                <w:rtl w:val="0"/>
              </w:rPr>
              <w:t xml:space="preserve">mennyiségi kontraszt</w:t>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3A">
            <w:pPr>
              <w:numPr>
                <w:ilvl w:val="0"/>
                <w:numId w:val="4"/>
              </w:numPr>
              <w:tabs>
                <w:tab w:val="left" w:pos="720"/>
              </w:tabs>
              <w:spacing w:after="0" w:line="240" w:lineRule="auto"/>
              <w:ind w:left="720" w:hanging="360"/>
              <w:rPr>
                <w:sz w:val="24"/>
                <w:szCs w:val="24"/>
              </w:rPr>
            </w:pPr>
            <w:r w:rsidDel="00000000" w:rsidR="00000000" w:rsidRPr="00000000">
              <w:rPr>
                <w:rFonts w:ascii="Book Antiqua" w:cs="Book Antiqua" w:eastAsia="Book Antiqua" w:hAnsi="Book Antiqua"/>
                <w:sz w:val="24"/>
                <w:szCs w:val="24"/>
                <w:rtl w:val="0"/>
              </w:rPr>
              <w:t xml:space="preserve">intenzitás, telítettség, törtség (</w:t>
            </w:r>
            <w:r w:rsidDel="00000000" w:rsidR="00000000" w:rsidRPr="00000000">
              <w:rPr>
                <w:rFonts w:ascii="Book Antiqua" w:cs="Book Antiqua" w:eastAsia="Book Antiqua" w:hAnsi="Book Antiqua"/>
                <w:i w:val="1"/>
                <w:sz w:val="24"/>
                <w:szCs w:val="24"/>
                <w:rtl w:val="0"/>
              </w:rPr>
              <w:t xml:space="preserve">minőségi kontraszt</w:t>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3B">
            <w:pPr>
              <w:numPr>
                <w:ilvl w:val="0"/>
                <w:numId w:val="4"/>
              </w:numPr>
              <w:tabs>
                <w:tab w:val="left" w:pos="720"/>
              </w:tabs>
              <w:spacing w:after="0" w:line="240" w:lineRule="auto"/>
              <w:ind w:left="720" w:hanging="360"/>
              <w:rPr>
                <w:sz w:val="24"/>
                <w:szCs w:val="24"/>
              </w:rPr>
            </w:pPr>
            <w:r w:rsidDel="00000000" w:rsidR="00000000" w:rsidRPr="00000000">
              <w:rPr>
                <w:rFonts w:ascii="Book Antiqua" w:cs="Book Antiqua" w:eastAsia="Book Antiqua" w:hAnsi="Book Antiqua"/>
                <w:sz w:val="24"/>
                <w:szCs w:val="24"/>
                <w:rtl w:val="0"/>
              </w:rPr>
              <w:t xml:space="preserve">színvalóság-színhatás (</w:t>
            </w:r>
            <w:r w:rsidDel="00000000" w:rsidR="00000000" w:rsidRPr="00000000">
              <w:rPr>
                <w:rFonts w:ascii="Book Antiqua" w:cs="Book Antiqua" w:eastAsia="Book Antiqua" w:hAnsi="Book Antiqua"/>
                <w:i w:val="1"/>
                <w:sz w:val="24"/>
                <w:szCs w:val="24"/>
                <w:rtl w:val="0"/>
              </w:rPr>
              <w:t xml:space="preserve">szimultán kontraszt</w:t>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3C">
            <w:pPr>
              <w:numPr>
                <w:ilvl w:val="0"/>
                <w:numId w:val="4"/>
              </w:numPr>
              <w:tabs>
                <w:tab w:val="left" w:pos="720"/>
              </w:tabs>
              <w:spacing w:after="0" w:line="240" w:lineRule="auto"/>
              <w:ind w:left="720" w:hanging="360"/>
              <w:rPr>
                <w:sz w:val="24"/>
                <w:szCs w:val="24"/>
              </w:rPr>
            </w:pPr>
            <w:r w:rsidDel="00000000" w:rsidR="00000000" w:rsidRPr="00000000">
              <w:rPr>
                <w:rFonts w:ascii="Book Antiqua" w:cs="Book Antiqua" w:eastAsia="Book Antiqua" w:hAnsi="Book Antiqua"/>
                <w:sz w:val="24"/>
                <w:szCs w:val="24"/>
                <w:rtl w:val="0"/>
              </w:rPr>
              <w:t xml:space="preserve">lazúr-fedő festés , pigmentek, festékek,</w:t>
            </w:r>
          </w:p>
          <w:p w:rsidR="00000000" w:rsidDel="00000000" w:rsidP="00000000" w:rsidRDefault="00000000" w:rsidRPr="00000000" w14:paraId="0000003D">
            <w:pPr>
              <w:numPr>
                <w:ilvl w:val="0"/>
                <w:numId w:val="4"/>
              </w:numPr>
              <w:tabs>
                <w:tab w:val="left" w:pos="720"/>
              </w:tabs>
              <w:spacing w:after="0" w:line="240" w:lineRule="auto"/>
              <w:ind w:left="720" w:hanging="360"/>
              <w:rPr>
                <w:sz w:val="24"/>
                <w:szCs w:val="24"/>
              </w:rPr>
            </w:pPr>
            <w:r w:rsidDel="00000000" w:rsidR="00000000" w:rsidRPr="00000000">
              <w:rPr>
                <w:rFonts w:ascii="Book Antiqua" w:cs="Book Antiqua" w:eastAsia="Book Antiqua" w:hAnsi="Book Antiqua"/>
                <w:sz w:val="24"/>
                <w:szCs w:val="24"/>
                <w:rtl w:val="0"/>
              </w:rPr>
              <w:t xml:space="preserve">matt-fényes, forma és felület</w:t>
            </w:r>
          </w:p>
          <w:p w:rsidR="00000000" w:rsidDel="00000000" w:rsidP="00000000" w:rsidRDefault="00000000" w:rsidRPr="00000000" w14:paraId="0000003E">
            <w:pPr>
              <w:numPr>
                <w:ilvl w:val="0"/>
                <w:numId w:val="4"/>
              </w:numPr>
              <w:tabs>
                <w:tab w:val="left" w:pos="720"/>
              </w:tabs>
              <w:spacing w:after="0" w:line="240" w:lineRule="auto"/>
              <w:ind w:left="720" w:hanging="360"/>
              <w:rPr>
                <w:sz w:val="24"/>
                <w:szCs w:val="24"/>
              </w:rPr>
            </w:pPr>
            <w:r w:rsidDel="00000000" w:rsidR="00000000" w:rsidRPr="00000000">
              <w:rPr>
                <w:rFonts w:ascii="Book Antiqua" w:cs="Book Antiqua" w:eastAsia="Book Antiqua" w:hAnsi="Book Antiqua"/>
                <w:sz w:val="24"/>
                <w:szCs w:val="24"/>
                <w:rtl w:val="0"/>
              </w:rPr>
              <w:t xml:space="preserve">színkeverés, pigmentáris, optikai, raszter</w:t>
            </w:r>
          </w:p>
          <w:p w:rsidR="00000000" w:rsidDel="00000000" w:rsidP="00000000" w:rsidRDefault="00000000" w:rsidRPr="00000000" w14:paraId="0000003F">
            <w:pPr>
              <w:numPr>
                <w:ilvl w:val="0"/>
                <w:numId w:val="4"/>
              </w:numPr>
              <w:tabs>
                <w:tab w:val="left" w:pos="720"/>
              </w:tabs>
              <w:spacing w:after="0" w:line="240" w:lineRule="auto"/>
              <w:ind w:left="720" w:hanging="360"/>
              <w:rPr>
                <w:sz w:val="24"/>
                <w:szCs w:val="24"/>
              </w:rPr>
            </w:pPr>
            <w:r w:rsidDel="00000000" w:rsidR="00000000" w:rsidRPr="00000000">
              <w:rPr>
                <w:rFonts w:ascii="Book Antiqua" w:cs="Book Antiqua" w:eastAsia="Book Antiqua" w:hAnsi="Book Antiqua"/>
                <w:sz w:val="24"/>
                <w:szCs w:val="24"/>
                <w:rtl w:val="0"/>
              </w:rPr>
              <w:t xml:space="preserve">színek térhatása</w:t>
            </w:r>
          </w:p>
          <w:p w:rsidR="00000000" w:rsidDel="00000000" w:rsidP="00000000" w:rsidRDefault="00000000" w:rsidRPr="00000000" w14:paraId="00000040">
            <w:pPr>
              <w:numPr>
                <w:ilvl w:val="0"/>
                <w:numId w:val="4"/>
              </w:numPr>
              <w:tabs>
                <w:tab w:val="left" w:pos="720"/>
              </w:tabs>
              <w:spacing w:after="0" w:line="240" w:lineRule="auto"/>
              <w:ind w:left="720" w:hanging="360"/>
              <w:rPr>
                <w:sz w:val="24"/>
                <w:szCs w:val="24"/>
              </w:rPr>
            </w:pPr>
            <w:r w:rsidDel="00000000" w:rsidR="00000000" w:rsidRPr="00000000">
              <w:rPr>
                <w:rFonts w:ascii="Book Antiqua" w:cs="Book Antiqua" w:eastAsia="Book Antiqua" w:hAnsi="Book Antiqua"/>
                <w:sz w:val="24"/>
                <w:szCs w:val="24"/>
                <w:rtl w:val="0"/>
              </w:rPr>
              <w:t xml:space="preserve">színszimbolika, színszemantika</w:t>
            </w:r>
          </w:p>
          <w:p w:rsidR="00000000" w:rsidDel="00000000" w:rsidP="00000000" w:rsidRDefault="00000000" w:rsidRPr="00000000" w14:paraId="00000041">
            <w:pPr>
              <w:numPr>
                <w:ilvl w:val="0"/>
                <w:numId w:val="4"/>
              </w:numPr>
              <w:tabs>
                <w:tab w:val="left" w:pos="720"/>
              </w:tabs>
              <w:spacing w:after="0" w:line="240" w:lineRule="auto"/>
              <w:ind w:left="720" w:hanging="360"/>
              <w:rPr>
                <w:sz w:val="24"/>
                <w:szCs w:val="24"/>
              </w:rPr>
            </w:pPr>
            <w:r w:rsidDel="00000000" w:rsidR="00000000" w:rsidRPr="00000000">
              <w:rPr>
                <w:rFonts w:ascii="Book Antiqua" w:cs="Book Antiqua" w:eastAsia="Book Antiqua" w:hAnsi="Book Antiqua"/>
                <w:sz w:val="24"/>
                <w:szCs w:val="24"/>
                <w:rtl w:val="0"/>
              </w:rPr>
              <w:t xml:space="preserve">digitális színkeverés, CMYK vs. RGB</w:t>
            </w:r>
          </w:p>
          <w:p w:rsidR="00000000" w:rsidDel="00000000" w:rsidP="00000000" w:rsidRDefault="00000000" w:rsidRPr="00000000" w14:paraId="00000042">
            <w:pPr>
              <w:numPr>
                <w:ilvl w:val="0"/>
                <w:numId w:val="4"/>
              </w:numPr>
              <w:tabs>
                <w:tab w:val="left" w:pos="720"/>
              </w:tabs>
              <w:spacing w:after="0" w:line="240" w:lineRule="auto"/>
              <w:ind w:left="720" w:hanging="360"/>
              <w:rPr>
                <w:sz w:val="24"/>
                <w:szCs w:val="24"/>
              </w:rPr>
            </w:pPr>
            <w:r w:rsidDel="00000000" w:rsidR="00000000" w:rsidRPr="00000000">
              <w:rPr>
                <w:rFonts w:ascii="Book Antiqua" w:cs="Book Antiqua" w:eastAsia="Book Antiqua" w:hAnsi="Book Antiqua"/>
                <w:sz w:val="24"/>
                <w:szCs w:val="24"/>
                <w:rtl w:val="0"/>
              </w:rPr>
              <w:t xml:space="preserve">digitális színkezelés, HSV/HSL (Hue-Saturation-Value/Lightness)</w:t>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75" w:hRule="atLeast"/>
          <w:tblHeader w:val="0"/>
        </w:trPr>
        <w:tc>
          <w:tcPr>
            <w:gridSpan w:val="5"/>
          </w:tcPr>
          <w:p w:rsidR="00000000" w:rsidDel="00000000" w:rsidP="00000000" w:rsidRDefault="00000000" w:rsidRPr="00000000" w14:paraId="00000049">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Tanulásszervezés/folyamatszervezés sajátosságai: </w:t>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Látvány utáni színes tanulmányok műtermi beállításokkal vagy kerti látványok alapján előre megadott közös vagy személyre igazított napi feladatok mentén. Kontakt órák tanári korrektúrával, konzultációkkal, órák elején elméleti ismertetésekkel, tájékoztatással, otthoni feladatokkal. </w:t>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zíntani, színelméleti előadások</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színdinamikai diszciplína alapján felépített speciális műtermi festési gyakorlatok</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kreatív digitális feladatsor önálló otthoni feladatok</w:t>
            </w: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A hallgatók tennivalói, feladatai:</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tanulmányok elsősorban az intenzív műtermi gyakorlatokra koncentrálnak, ezért az órákon való aktív részvétel elengedhetetlen. A kontaktórákon túli műtermi, ill. otthoni munka hasznos és javasolt kiegészítés.</w:t>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2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tanulás környezete: T_213 műterem, külső helyszín, házi feladatok, online, </w:t>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tbl>
      <w:tblPr>
        <w:tblStyle w:val="Table2"/>
        <w:tblW w:w="9498.0" w:type="dxa"/>
        <w:jc w:val="left"/>
        <w:tblInd w:w="-1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498"/>
        <w:tblGridChange w:id="0">
          <w:tblGrid>
            <w:gridCol w:w="9498"/>
          </w:tblGrid>
        </w:tblGridChange>
      </w:tblGrid>
      <w:tr>
        <w:trPr>
          <w:cantSplit w:val="0"/>
          <w:trHeight w:val="653" w:hRule="atLeast"/>
          <w:tblHeader w:val="0"/>
        </w:trPr>
        <w:tc>
          <w:tcPr>
            <w:tcBorders>
              <w:bottom w:color="000000" w:space="0" w:sz="4" w:val="single"/>
            </w:tcBorders>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Értékelés:</w:t>
            </w: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félévi jegy komponensei:</w:t>
              <w:tab/>
              <w:tab/>
              <w:tab/>
              <w:t xml:space="preserve">Értékelés:</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Aktivitás, jelenlét, konzultáció</w:t>
              <w:tab/>
              <w:t xml:space="preserve">20 %</w:t>
              <w:tab/>
              <w:tab/>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műtermi tanulmányok </w:t>
              <w:tab/>
              <w:tab/>
              <w:t xml:space="preserve">50 %</w:t>
              <w:tab/>
              <w:tab/>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kiegészítő színes feladatok       </w:t>
              <w:tab/>
              <w:t xml:space="preserve">20 %</w:t>
              <w:tab/>
              <w:tab/>
              <w:tab/>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félévzáró vizsgakonzultáció</w:t>
              <w:tab/>
              <w:tab/>
              <w:t xml:space="preserve">10 %</w:t>
              <w:tab/>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91-100%:</w:t>
              <w:tab/>
              <w:t xml:space="preserve">jeles</w:t>
            </w:r>
          </w:p>
          <w:p w:rsidR="00000000" w:rsidDel="00000000" w:rsidP="00000000" w:rsidRDefault="00000000" w:rsidRPr="00000000" w14:paraId="00000065">
            <w:pPr>
              <w:rPr>
                <w:rFonts w:ascii="Times New Roman" w:cs="Times New Roman" w:eastAsia="Times New Roman" w:hAnsi="Times New Roman"/>
                <w:sz w:val="24"/>
                <w:szCs w:val="24"/>
              </w:rPr>
            </w:pPr>
            <w:bookmarkStart w:colFirst="0" w:colLast="0" w:name="_3znysh7" w:id="3"/>
            <w:bookmarkEnd w:id="3"/>
            <w:r w:rsidDel="00000000" w:rsidR="00000000" w:rsidRPr="00000000">
              <w:rPr>
                <w:rFonts w:ascii="Times New Roman" w:cs="Times New Roman" w:eastAsia="Times New Roman" w:hAnsi="Times New Roman"/>
                <w:color w:val="000000"/>
                <w:sz w:val="24"/>
                <w:szCs w:val="24"/>
                <w:rtl w:val="0"/>
              </w:rPr>
              <w:t xml:space="preserve">71-90%:</w:t>
            </w:r>
            <w:r w:rsidDel="00000000" w:rsidR="00000000" w:rsidRPr="00000000">
              <w:rPr>
                <w:rFonts w:ascii="Times New Roman" w:cs="Times New Roman" w:eastAsia="Times New Roman" w:hAnsi="Times New Roman"/>
                <w:sz w:val="24"/>
                <w:szCs w:val="24"/>
                <w:rtl w:val="0"/>
              </w:rPr>
              <w:tab/>
              <w:t xml:space="preserve">jó</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color w:val="000000"/>
                <w:rtl w:val="0"/>
              </w:rPr>
              <w:t xml:space="preserve">51-70%:</w:t>
            </w:r>
            <w:r w:rsidDel="00000000" w:rsidR="00000000" w:rsidRPr="00000000">
              <w:rPr>
                <w:rFonts w:ascii="Times New Roman" w:cs="Times New Roman" w:eastAsia="Times New Roman" w:hAnsi="Times New Roman"/>
                <w:sz w:val="24"/>
                <w:szCs w:val="24"/>
                <w:rtl w:val="0"/>
              </w:rPr>
              <w:tab/>
              <w:t xml:space="preserve">közepes</w:t>
              <w:tab/>
              <w:tab/>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31-50%:</w:t>
            </w:r>
            <w:r w:rsidDel="00000000" w:rsidR="00000000" w:rsidRPr="00000000">
              <w:rPr>
                <w:rFonts w:ascii="Times New Roman" w:cs="Times New Roman" w:eastAsia="Times New Roman" w:hAnsi="Times New Roman"/>
                <w:sz w:val="24"/>
                <w:szCs w:val="24"/>
                <w:rtl w:val="0"/>
              </w:rPr>
              <w:tab/>
              <w:t xml:space="preserve">elégséges</w:t>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0-30%:</w:t>
              <w:tab/>
              <w:tab/>
              <w:t xml:space="preserve">elégtelen </w:t>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Teljesítendő követelmények:</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40" w:lineRule="auto"/>
              <w:ind w:left="276"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Értékelés módja: </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Félév végi kiértékelés személyes konzultációval, a félév során készült munkák alapján. </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Az értékelés szempontjai: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órai és otthoni munka, attitűd, munkák kvalitása</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(színdinamikai, színtani ismeretek alkalmazása, kifejezőerő, plasztikus tömeg- és térhatás, kreatív invenció)</w:t>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Az értékelés szempontjai (mi mindent veszünk figyelembe az értékelésben): </w:t>
            </w:r>
          </w:p>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színes forma-alakítás, egyéni invenciók, szkillek, kreativitás, személyes attitűd, progresszió</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653" w:hRule="atLeast"/>
          <w:tblHeader w:val="0"/>
        </w:trPr>
        <w:tc>
          <w:tcPr>
            <w:tcBorders>
              <w:bottom w:color="000000" w:space="0" w:sz="4" w:val="single"/>
            </w:tcBorders>
          </w:tcPr>
          <w:p w:rsidR="00000000" w:rsidDel="00000000" w:rsidP="00000000" w:rsidRDefault="00000000" w:rsidRPr="00000000" w14:paraId="00000077">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Kiértékelésen bemutatandó (prezentáció) </w:t>
            </w:r>
          </w:p>
          <w:p w:rsidR="00000000" w:rsidDel="00000000" w:rsidP="00000000" w:rsidRDefault="00000000" w:rsidRPr="00000000" w14:paraId="00000078">
            <w:pPr>
              <w:widowControl w:val="0"/>
              <w:ind w:left="3261" w:hanging="326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Műtermi színes tanulmányok</w:t>
              <w:tab/>
              <w:t xml:space="preserve">min. 10 db. DIN A2 (félíves) munka</w:t>
            </w:r>
          </w:p>
          <w:p w:rsidR="00000000" w:rsidDel="00000000" w:rsidP="00000000" w:rsidRDefault="00000000" w:rsidRPr="00000000" w14:paraId="00000079">
            <w:pPr>
              <w:widowControl w:val="0"/>
              <w:ind w:left="3261" w:hanging="326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digitális és egyéb házi feladatok</w:t>
              <w:tab/>
              <w:t xml:space="preserve">min. 12 db. DIN A3 vagy DIN A4 munka</w:t>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u w:val="single"/>
              </w:rPr>
            </w:pPr>
            <w:r w:rsidDel="00000000" w:rsidR="00000000" w:rsidRPr="00000000">
              <w:rPr>
                <w:rtl w:val="0"/>
              </w:rPr>
            </w:r>
          </w:p>
        </w:tc>
      </w:tr>
      <w:tr>
        <w:trPr>
          <w:cantSplit w:val="0"/>
          <w:trHeight w:val="653" w:hRule="atLeast"/>
          <w:tblHeader w:val="0"/>
        </w:trPr>
        <w:tc>
          <w:tcPr>
            <w:tcBorders>
              <w:bottom w:color="000000" w:space="0" w:sz="4" w:val="single"/>
            </w:tcBorders>
          </w:tcPr>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Leadandó, paraméterek megjelölésével (pl: fotó, video, írásos dokumentum, modell, tárgy stb.)</w:t>
            </w:r>
          </w:p>
        </w:tc>
      </w:tr>
      <w:tr>
        <w:trPr>
          <w:cantSplit w:val="0"/>
          <w:trHeight w:val="653" w:hRule="atLeast"/>
          <w:tblHeader w:val="0"/>
        </w:trPr>
        <w:tc>
          <w:tcPr>
            <w:tcBorders>
              <w:bottom w:color="000000" w:space="0" w:sz="4" w:val="single"/>
            </w:tcBorders>
          </w:tcPr>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0" w:line="240" w:lineRule="auto"/>
              <w:ind w:left="2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 érdemjegy kiszámítása (az egyes értékelt követelmények eredménye hogyan jelenik meg a végső érdemjegyben? {pl. arányok, pontok, súlyok}):  </w:t>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351" w:hRule="atLeast"/>
          <w:tblHeader w:val="0"/>
        </w:trPr>
        <w:tc>
          <w:tcPr/>
          <w:p w:rsidR="00000000" w:rsidDel="00000000" w:rsidP="00000000" w:rsidRDefault="00000000" w:rsidRPr="00000000" w14:paraId="0000007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Kötelező irodalom: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Johannes Itten: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 színek művészete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(tanulmányi kiadás) Corvina 1978.</w:t>
            </w:r>
          </w:p>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Ajánlott irodalom:</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Johannes Itten: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színek művészete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(facsimile kiadás) Göncöl-Saxum 1978.</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Johann Wolfgang Goethe: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Színtan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Corvina</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Nemcsics Antal: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Coloroid színatlasz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ISBN 963-00-4612-1 vagy ISBN 963 02 4789 5</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Nemcsics Antal: Színtan-színdinamika, Tankönyvkiadó, 1988</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Sarah Kent: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Kompozíció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Park kiadó</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Szelényi Károly: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Színek (a fény tettei és szenvedései) </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Király Sándor: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Általános színtan és látáselmélet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Nemzeti tankönyvkiadó, 1994.</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Joann Eckstut &amp; Arielle Eckstut: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Secret Language of Color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Black Dog and Leventhal Publishers Inc.</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Josef Albers: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Interaction of Color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Yale University Press</w:t>
            </w:r>
          </w:p>
          <w:p w:rsidR="00000000" w:rsidDel="00000000" w:rsidP="00000000" w:rsidRDefault="00000000" w:rsidRPr="00000000" w14:paraId="0000008B">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096" w:hRule="atLeast"/>
          <w:tblHeader w:val="0"/>
        </w:trPr>
        <w:tc>
          <w:tcPr/>
          <w:p w:rsidR="00000000" w:rsidDel="00000000" w:rsidP="00000000" w:rsidRDefault="00000000" w:rsidRPr="00000000" w14:paraId="0000008D">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Egyéb információk:</w:t>
            </w:r>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8F">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Festék*, eszköz- és anyagszükséglet festéshez</w:t>
            </w:r>
          </w:p>
          <w:p w:rsidR="00000000" w:rsidDel="00000000" w:rsidP="00000000" w:rsidRDefault="00000000" w:rsidRPr="00000000" w14:paraId="00000090">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Festékek:</w:t>
            </w:r>
          </w:p>
          <w:p w:rsidR="00000000" w:rsidDel="00000000" w:rsidP="00000000" w:rsidRDefault="00000000" w:rsidRPr="00000000" w14:paraId="0000009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Elefántcsont v. koromfekete</w:t>
            </w:r>
          </w:p>
          <w:p w:rsidR="00000000" w:rsidDel="00000000" w:rsidP="00000000" w:rsidRDefault="00000000" w:rsidRPr="00000000" w14:paraId="00000093">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Titánfehér x 2</w:t>
            </w:r>
          </w:p>
          <w:p w:rsidR="00000000" w:rsidDel="00000000" w:rsidP="00000000" w:rsidRDefault="00000000" w:rsidRPr="00000000" w14:paraId="0000009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nápolyi sárga</w:t>
            </w:r>
          </w:p>
          <w:p w:rsidR="00000000" w:rsidDel="00000000" w:rsidP="00000000" w:rsidRDefault="00000000" w:rsidRPr="00000000" w14:paraId="00000095">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kadmium (esetleg permanent) citromsárga</w:t>
            </w:r>
          </w:p>
          <w:p w:rsidR="00000000" w:rsidDel="00000000" w:rsidP="00000000" w:rsidRDefault="00000000" w:rsidRPr="00000000" w14:paraId="0000009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kadmium (esetleg permanent) sárga sötét</w:t>
            </w:r>
          </w:p>
          <w:p w:rsidR="00000000" w:rsidDel="00000000" w:rsidP="00000000" w:rsidRDefault="00000000" w:rsidRPr="00000000" w14:paraId="00000097">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kadmium (esetleg permanent) sárga narancs</w:t>
            </w:r>
          </w:p>
          <w:p w:rsidR="00000000" w:rsidDel="00000000" w:rsidP="00000000" w:rsidRDefault="00000000" w:rsidRPr="00000000" w14:paraId="00000098">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Okker </w:t>
            </w:r>
          </w:p>
          <w:p w:rsidR="00000000" w:rsidDel="00000000" w:rsidP="00000000" w:rsidRDefault="00000000" w:rsidRPr="00000000" w14:paraId="0000009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siena természetes</w:t>
            </w:r>
          </w:p>
          <w:p w:rsidR="00000000" w:rsidDel="00000000" w:rsidP="00000000" w:rsidRDefault="00000000" w:rsidRPr="00000000" w14:paraId="0000009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siena égetett</w:t>
            </w:r>
          </w:p>
          <w:p w:rsidR="00000000" w:rsidDel="00000000" w:rsidP="00000000" w:rsidRDefault="00000000" w:rsidRPr="00000000" w14:paraId="0000009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umbra természetes</w:t>
            </w:r>
          </w:p>
          <w:p w:rsidR="00000000" w:rsidDel="00000000" w:rsidP="00000000" w:rsidRDefault="00000000" w:rsidRPr="00000000" w14:paraId="0000009C">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umbra égetett</w:t>
            </w:r>
          </w:p>
          <w:p w:rsidR="00000000" w:rsidDel="00000000" w:rsidP="00000000" w:rsidRDefault="00000000" w:rsidRPr="00000000" w14:paraId="0000009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angolvörös</w:t>
            </w:r>
          </w:p>
          <w:p w:rsidR="00000000" w:rsidDel="00000000" w:rsidP="00000000" w:rsidRDefault="00000000" w:rsidRPr="00000000" w14:paraId="0000009E">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kadmium (esetleg permanent) vörös</w:t>
            </w:r>
          </w:p>
          <w:p w:rsidR="00000000" w:rsidDel="00000000" w:rsidP="00000000" w:rsidRDefault="00000000" w:rsidRPr="00000000" w14:paraId="0000009F">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alizarin krapplakk v. gerániumlakk</w:t>
            </w:r>
          </w:p>
          <w:p w:rsidR="00000000" w:rsidDel="00000000" w:rsidP="00000000" w:rsidRDefault="00000000" w:rsidRPr="00000000" w14:paraId="000000A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Ibolya</w:t>
            </w:r>
          </w:p>
          <w:p w:rsidR="00000000" w:rsidDel="00000000" w:rsidP="00000000" w:rsidRDefault="00000000" w:rsidRPr="00000000" w14:paraId="000000A1">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ultramarinkék világos</w:t>
            </w:r>
          </w:p>
          <w:p w:rsidR="00000000" w:rsidDel="00000000" w:rsidP="00000000" w:rsidRDefault="00000000" w:rsidRPr="00000000" w14:paraId="000000A2">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mangán- v. cián- v. cölinkék</w:t>
            </w:r>
          </w:p>
          <w:p w:rsidR="00000000" w:rsidDel="00000000" w:rsidP="00000000" w:rsidRDefault="00000000" w:rsidRPr="00000000" w14:paraId="000000A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párizsi kék</w:t>
            </w:r>
          </w:p>
          <w:p w:rsidR="00000000" w:rsidDel="00000000" w:rsidP="00000000" w:rsidRDefault="00000000" w:rsidRPr="00000000" w14:paraId="000000A4">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kadmium (esetleg permanent) zöld</w:t>
            </w:r>
          </w:p>
          <w:p w:rsidR="00000000" w:rsidDel="00000000" w:rsidP="00000000" w:rsidRDefault="00000000" w:rsidRPr="00000000" w14:paraId="000000A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krómoxidzöld matt</w:t>
            </w:r>
          </w:p>
          <w:p w:rsidR="00000000" w:rsidDel="00000000" w:rsidP="00000000" w:rsidRDefault="00000000" w:rsidRPr="00000000" w14:paraId="000000A6">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krómoxid- v. permanent- v. hidrátzöld tüzes</w:t>
            </w:r>
          </w:p>
          <w:p w:rsidR="00000000" w:rsidDel="00000000" w:rsidP="00000000" w:rsidRDefault="00000000" w:rsidRPr="00000000" w14:paraId="000000A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olívzöld</w:t>
            </w:r>
          </w:p>
          <w:p w:rsidR="00000000" w:rsidDel="00000000" w:rsidP="00000000" w:rsidRDefault="00000000" w:rsidRPr="00000000" w14:paraId="000000A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vastagon szedett színek egy pénztárcakímélő szűkített paletta)</w:t>
            </w:r>
          </w:p>
          <w:p w:rsidR="00000000" w:rsidDel="00000000" w:rsidP="00000000" w:rsidRDefault="00000000" w:rsidRPr="00000000" w14:paraId="000000A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*javasolt festéktípus: </w:t>
            </w:r>
            <w:r w:rsidDel="00000000" w:rsidR="00000000" w:rsidRPr="00000000">
              <w:rPr>
                <w:rFonts w:ascii="Times New Roman" w:cs="Times New Roman" w:eastAsia="Times New Roman" w:hAnsi="Times New Roman"/>
                <w:b w:val="1"/>
                <w:sz w:val="24"/>
                <w:szCs w:val="24"/>
                <w:rtl w:val="0"/>
              </w:rPr>
              <w:t xml:space="preserve">akril!</w:t>
            </w:r>
            <w:r w:rsidDel="00000000" w:rsidR="00000000" w:rsidRPr="00000000">
              <w:rPr>
                <w:rFonts w:ascii="Times New Roman" w:cs="Times New Roman" w:eastAsia="Times New Roman" w:hAnsi="Times New Roman"/>
                <w:sz w:val="24"/>
                <w:szCs w:val="24"/>
                <w:rtl w:val="0"/>
              </w:rPr>
              <w:t xml:space="preserve"> (esetleg tempera, quasch, aquarell, ha már megvan)</w:t>
            </w:r>
          </w:p>
          <w:p w:rsidR="00000000" w:rsidDel="00000000" w:rsidP="00000000" w:rsidRDefault="00000000" w:rsidRPr="00000000" w14:paraId="000000A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javasolt tubusméret: minél nagyobb, de lehetőleg 38ml &lt;</w:t>
            </w:r>
          </w:p>
          <w:p w:rsidR="00000000" w:rsidDel="00000000" w:rsidP="00000000" w:rsidRDefault="00000000" w:rsidRPr="00000000" w14:paraId="000000A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javasolt márkák: </w:t>
            </w:r>
          </w:p>
          <w:p w:rsidR="00000000" w:rsidDel="00000000" w:rsidP="00000000" w:rsidRDefault="00000000" w:rsidRPr="00000000" w14:paraId="000000A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Pannoncolor, Ferrario, Thalens Amsterdam, Liquitex, Lascaux Studio, Schminke, Winsor&amp;Newton, </w:t>
            </w:r>
          </w:p>
          <w:p w:rsidR="00000000" w:rsidDel="00000000" w:rsidP="00000000" w:rsidRDefault="00000000" w:rsidRPr="00000000" w14:paraId="000000B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Művészellátó boltok és webshop:</w:t>
            </w:r>
          </w:p>
          <w:p w:rsidR="00000000" w:rsidDel="00000000" w:rsidP="00000000" w:rsidRDefault="00000000" w:rsidRPr="00000000" w14:paraId="000000B2">
            <w:pPr>
              <w:spacing w:after="0" w:line="276"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563c1"/>
                  <w:sz w:val="24"/>
                  <w:szCs w:val="24"/>
                  <w:u w:val="single"/>
                  <w:rtl w:val="0"/>
                </w:rPr>
                <w:t xml:space="preserve">https://artexport.hu/uzlet</w:t>
              </w:r>
            </w:hyperlink>
            <w:r w:rsidDel="00000000" w:rsidR="00000000" w:rsidRPr="00000000">
              <w:rPr>
                <w:rtl w:val="0"/>
              </w:rPr>
            </w:r>
          </w:p>
          <w:p w:rsidR="00000000" w:rsidDel="00000000" w:rsidP="00000000" w:rsidRDefault="00000000" w:rsidRPr="00000000" w14:paraId="000000B3">
            <w:pPr>
              <w:spacing w:after="0" w:line="276" w:lineRule="auto"/>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0563c1"/>
                  <w:sz w:val="24"/>
                  <w:szCs w:val="24"/>
                  <w:u w:val="single"/>
                  <w:rtl w:val="0"/>
                </w:rPr>
                <w:t xml:space="preserve">https://artexport.hu/muveszellato/festeszet/akrilfestes/akrilfestekek</w:t>
              </w:r>
            </w:hyperlink>
            <w:r w:rsidDel="00000000" w:rsidR="00000000" w:rsidRPr="00000000">
              <w:rPr>
                <w:rtl w:val="0"/>
              </w:rPr>
            </w:r>
          </w:p>
          <w:p w:rsidR="00000000" w:rsidDel="00000000" w:rsidP="00000000" w:rsidRDefault="00000000" w:rsidRPr="00000000" w14:paraId="000000B4">
            <w:pPr>
              <w:spacing w:after="0" w:line="276" w:lineRule="auto"/>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0563c1"/>
                  <w:sz w:val="24"/>
                  <w:szCs w:val="24"/>
                  <w:u w:val="single"/>
                  <w:rtl w:val="0"/>
                </w:rPr>
                <w:t xml:space="preserve">http://pannoncolor.hu/hu/</w:t>
              </w:r>
            </w:hyperlink>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rPr/>
            </w:pPr>
            <w:r w:rsidDel="00000000" w:rsidR="00000000" w:rsidRPr="00000000">
              <w:rPr>
                <w:rFonts w:ascii="Times New Roman" w:cs="Times New Roman" w:eastAsia="Times New Roman" w:hAnsi="Times New Roman"/>
                <w:sz w:val="24"/>
                <w:szCs w:val="24"/>
                <w:rtl w:val="0"/>
              </w:rPr>
              <w:t xml:space="preserve">szükséges még törlőrongy, vizesedény 0,5 l &lt;, paletta</w:t>
            </w: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Ecsetek*</w:t>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Lapos ecsetekből legalább 1-1 db 3 méretből: 20-22, 14-16, 10-12</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 </w:t>
            </w:r>
            <w:hyperlink r:id="rId10">
              <w:r w:rsidDel="00000000" w:rsidR="00000000" w:rsidRPr="00000000">
                <w:rPr>
                  <w:rFonts w:ascii="Times New Roman" w:cs="Times New Roman" w:eastAsia="Times New Roman" w:hAnsi="Times New Roman"/>
                  <w:color w:val="ed4b79"/>
                  <w:sz w:val="24"/>
                  <w:szCs w:val="24"/>
                  <w:highlight w:val="white"/>
                  <w:u w:val="single"/>
                  <w:rtl w:val="0"/>
                </w:rPr>
                <w:t xml:space="preserve">M500P Munkácsy lapos fehér szintetikus ecset</w:t>
              </w:r>
            </w:hyperlink>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868bab"/>
                  <w:sz w:val="24"/>
                  <w:szCs w:val="24"/>
                  <w:highlight w:val="white"/>
                  <w:u w:val="single"/>
                  <w:rtl w:val="0"/>
                </w:rPr>
                <w:t xml:space="preserve">M1960FR Munkácsy szintetikus macskanyelv</w:t>
              </w:r>
            </w:hyperlink>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868bab"/>
                  <w:sz w:val="24"/>
                  <w:szCs w:val="24"/>
                  <w:highlight w:val="white"/>
                  <w:u w:val="single"/>
                  <w:rtl w:val="0"/>
                </w:rPr>
                <w:t xml:space="preserve">M2005 Munkácsy hosszúnyelű szintetikus triple </w:t>
              </w:r>
            </w:hyperlink>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ed4b79"/>
                  <w:sz w:val="24"/>
                  <w:szCs w:val="24"/>
                  <w:highlight w:val="white"/>
                  <w:u w:val="single"/>
                  <w:rtl w:val="0"/>
                </w:rPr>
                <w:t xml:space="preserve">M42FR Munkácsy szintetikus macskanyelv ecset</w:t>
              </w:r>
            </w:hyperlink>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868bab"/>
                  <w:sz w:val="24"/>
                  <w:szCs w:val="24"/>
                  <w:highlight w:val="white"/>
                  <w:u w:val="single"/>
                  <w:rtl w:val="0"/>
                </w:rPr>
                <w:t xml:space="preserve">M1124 Munkácsy macskanyelv sörte ecset</w:t>
              </w:r>
            </w:hyperlink>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hegyes ecset 1 -2 db egy vékonyabb, egy vastagabb</w:t>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 </w:t>
            </w:r>
            <w:hyperlink r:id="rId15">
              <w:r w:rsidDel="00000000" w:rsidR="00000000" w:rsidRPr="00000000">
                <w:rPr>
                  <w:rFonts w:ascii="Times New Roman" w:cs="Times New Roman" w:eastAsia="Times New Roman" w:hAnsi="Times New Roman"/>
                  <w:color w:val="ed4b79"/>
                  <w:sz w:val="24"/>
                  <w:szCs w:val="24"/>
                  <w:highlight w:val="white"/>
                  <w:u w:val="single"/>
                  <w:rtl w:val="0"/>
                </w:rPr>
                <w:t xml:space="preserve">M501R Munkácsy tűhegyű fehér szintetikus ecset</w:t>
              </w:r>
            </w:hyperlink>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ed4b79"/>
                  <w:sz w:val="24"/>
                  <w:szCs w:val="24"/>
                  <w:highlight w:val="white"/>
                  <w:u w:val="single"/>
                  <w:rtl w:val="0"/>
                </w:rPr>
                <w:t xml:space="preserve">M7500R Munkácsy tűhegyű szintetikus ecset</w:t>
              </w:r>
            </w:hyperlink>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color w:val="ed4b79"/>
                  <w:sz w:val="24"/>
                  <w:szCs w:val="24"/>
                  <w:highlight w:val="white"/>
                  <w:u w:val="single"/>
                  <w:rtl w:val="0"/>
                </w:rPr>
                <w:t xml:space="preserve">M875 Munkácsy tűhegyű szintetikus ecset </w:t>
              </w:r>
            </w:hyperlink>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 db oszlató ecset 4-7 cm széles </w:t>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 </w:t>
            </w:r>
            <w:hyperlink r:id="rId18">
              <w:r w:rsidDel="00000000" w:rsidR="00000000" w:rsidRPr="00000000">
                <w:rPr>
                  <w:rFonts w:ascii="Times New Roman" w:cs="Times New Roman" w:eastAsia="Times New Roman" w:hAnsi="Times New Roman"/>
                  <w:color w:val="ed4b79"/>
                  <w:sz w:val="24"/>
                  <w:szCs w:val="24"/>
                  <w:highlight w:val="white"/>
                  <w:u w:val="single"/>
                  <w:rtl w:val="0"/>
                </w:rPr>
                <w:t xml:space="preserve">M200 Munkácsy oszlató sörte ecset</w:t>
              </w:r>
            </w:hyperlink>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*legjobbak a szintetikus ecsetek, esetleg sörte, de rugalmas, nem túl kemény macskanyelv vagy vágott lapos ecsetek. Célszerű még egy vagy kettő hegyes valamint oszlató ecset.</w:t>
            </w:r>
          </w:p>
          <w:p w:rsidR="00000000" w:rsidDel="00000000" w:rsidP="00000000" w:rsidRDefault="00000000" w:rsidRPr="00000000" w14:paraId="000000C8">
            <w:pPr>
              <w:rPr>
                <w:rFonts w:ascii="Times New Roman" w:cs="Times New Roman" w:eastAsia="Times New Roman" w:hAnsi="Times New Roman"/>
                <w:sz w:val="24"/>
                <w:szCs w:val="24"/>
              </w:rPr>
            </w:pPr>
            <w:hyperlink r:id="rId19">
              <w:r w:rsidDel="00000000" w:rsidR="00000000" w:rsidRPr="00000000">
                <w:rPr>
                  <w:rFonts w:ascii="Times New Roman" w:cs="Times New Roman" w:eastAsia="Times New Roman" w:hAnsi="Times New Roman"/>
                  <w:color w:val="0563c1"/>
                  <w:sz w:val="24"/>
                  <w:szCs w:val="24"/>
                  <w:u w:val="single"/>
                  <w:rtl w:val="0"/>
                </w:rPr>
                <w:t xml:space="preserve">https://artexport.hu/muveszellato/eszkozok-kiegeszitok/ecsetek-festokesek</w:t>
              </w:r>
            </w:hyperlink>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Művészellátó boltok és webshop:</w:t>
            </w:r>
          </w:p>
          <w:p w:rsidR="00000000" w:rsidDel="00000000" w:rsidP="00000000" w:rsidRDefault="00000000" w:rsidRPr="00000000" w14:paraId="000000CB">
            <w:pPr>
              <w:rPr>
                <w:rFonts w:ascii="Times New Roman" w:cs="Times New Roman" w:eastAsia="Times New Roman" w:hAnsi="Times New Roman"/>
                <w:sz w:val="24"/>
                <w:szCs w:val="24"/>
              </w:rPr>
            </w:pPr>
            <w:hyperlink r:id="rId20">
              <w:r w:rsidDel="00000000" w:rsidR="00000000" w:rsidRPr="00000000">
                <w:rPr>
                  <w:rFonts w:ascii="Times New Roman" w:cs="Times New Roman" w:eastAsia="Times New Roman" w:hAnsi="Times New Roman"/>
                  <w:color w:val="0563c1"/>
                  <w:sz w:val="24"/>
                  <w:szCs w:val="24"/>
                  <w:u w:val="single"/>
                  <w:rtl w:val="0"/>
                </w:rPr>
                <w:t xml:space="preserve">https://artexport.hu/uzlet</w:t>
              </w:r>
            </w:hyperlink>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nagyon jó ecsetbolt a Városmajor utcában:</w:t>
            </w:r>
          </w:p>
          <w:p w:rsidR="00000000" w:rsidDel="00000000" w:rsidP="00000000" w:rsidRDefault="00000000" w:rsidRPr="00000000" w14:paraId="000000CD">
            <w:pPr>
              <w:rPr>
                <w:rFonts w:ascii="Times New Roman" w:cs="Times New Roman" w:eastAsia="Times New Roman" w:hAnsi="Times New Roman"/>
                <w:sz w:val="24"/>
                <w:szCs w:val="24"/>
              </w:rPr>
            </w:pPr>
            <w:hyperlink r:id="rId21">
              <w:r w:rsidDel="00000000" w:rsidR="00000000" w:rsidRPr="00000000">
                <w:rPr>
                  <w:rFonts w:ascii="Times New Roman" w:cs="Times New Roman" w:eastAsia="Times New Roman" w:hAnsi="Times New Roman"/>
                  <w:color w:val="0563c1"/>
                  <w:sz w:val="24"/>
                  <w:szCs w:val="24"/>
                  <w:u w:val="single"/>
                  <w:rtl w:val="0"/>
                </w:rPr>
                <w:t xml:space="preserve">http://www.ecsetbolt.hu/index.php</w:t>
              </w:r>
            </w:hyperlink>
            <w:r w:rsidDel="00000000" w:rsidR="00000000" w:rsidRPr="00000000">
              <w:rPr>
                <w:rtl w:val="0"/>
              </w:rPr>
            </w:r>
          </w:p>
          <w:p w:rsidR="00000000" w:rsidDel="00000000" w:rsidP="00000000" w:rsidRDefault="00000000" w:rsidRPr="00000000" w14:paraId="000000C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C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Máshol/korábban szerzett tudás elismerése/ validációs elv: (aláhúzni)</w:t>
            </w:r>
          </w:p>
          <w:p w:rsidR="00000000" w:rsidDel="00000000" w:rsidP="00000000" w:rsidRDefault="00000000" w:rsidRPr="00000000" w14:paraId="000000D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6" w:right="0" w:hanging="283"/>
              <w:jc w:val="both"/>
              <w:rPr>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nem adható felmentés a kurzuson való részvétel és teljesítés alól,</w:t>
            </w:r>
          </w:p>
          <w:p w:rsidR="00000000" w:rsidDel="00000000" w:rsidP="00000000" w:rsidRDefault="00000000" w:rsidRPr="00000000" w14:paraId="000000D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6" w:right="0" w:hanging="283"/>
              <w:jc w:val="both"/>
              <w:rPr>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felmentés adható egyes kompetenciák megszerzése, feladatok teljesítése alól, </w:t>
            </w:r>
          </w:p>
          <w:p w:rsidR="00000000" w:rsidDel="00000000" w:rsidP="00000000" w:rsidRDefault="00000000" w:rsidRPr="00000000" w14:paraId="000000D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6" w:right="0" w:hanging="283"/>
              <w:jc w:val="both"/>
              <w:rPr>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más, tevékenységgel egyes feladatok kiválhatók, </w:t>
            </w:r>
          </w:p>
          <w:p w:rsidR="00000000" w:rsidDel="00000000" w:rsidP="00000000" w:rsidRDefault="00000000" w:rsidRPr="00000000" w14:paraId="000000D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6" w:right="0" w:hanging="283"/>
              <w:jc w:val="both"/>
              <w:rPr>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teljes felmentés adható.</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6"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r>
      <w:tr>
        <w:trPr>
          <w:cantSplit w:val="0"/>
          <w:trHeight w:val="271" w:hRule="atLeast"/>
          <w:tblHeader w:val="0"/>
        </w:trPr>
        <w:tc>
          <w:tcPr/>
          <w:p w:rsidR="00000000" w:rsidDel="00000000" w:rsidP="00000000" w:rsidRDefault="00000000" w:rsidRPr="00000000" w14:paraId="000000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Tanórán kívüli konzultációs időpontok és helyszín:</w:t>
            </w:r>
          </w:p>
          <w:p w:rsidR="00000000" w:rsidDel="00000000" w:rsidP="00000000" w:rsidRDefault="00000000" w:rsidRPr="00000000" w14:paraId="000000D7">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lowerLetter"/>
      <w:lvlText w:val="%1.)"/>
      <w:lvlJc w:val="left"/>
      <w:pPr>
        <w:ind w:left="720" w:hanging="360"/>
      </w:pPr>
      <w:rPr>
        <w:b w:val="1"/>
      </w:rPr>
    </w:lvl>
    <w:lvl w:ilvl="1">
      <w:start w:val="1"/>
      <w:numFmt w:val="bullet"/>
      <w:lvlText w:val="–"/>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240" w:lineRule="auto"/>
    </w:pPr>
    <w:rPr>
      <w:rFonts w:ascii="Arial" w:cs="Arial" w:eastAsia="Arial" w:hAnsi="Arial"/>
      <w:b w:val="1"/>
      <w:i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artexport.hu/uzlet" TargetMode="External"/><Relationship Id="rId11" Type="http://schemas.openxmlformats.org/officeDocument/2006/relationships/hyperlink" Target="https://artexport.hu/m1960fr-munkacsy-szintetikus-macskanyelv-ecset-16?keyword=munk%C3%A1csy" TargetMode="External"/><Relationship Id="rId10" Type="http://schemas.openxmlformats.org/officeDocument/2006/relationships/hyperlink" Target="https://artexport.hu/m500p-munkacsy-lapos-feher-szintetikus-ecset-16?keyword=munk%C3%A1csy" TargetMode="External"/><Relationship Id="rId21" Type="http://schemas.openxmlformats.org/officeDocument/2006/relationships/hyperlink" Target="http://www.ecsetbolt.hu/index.php" TargetMode="External"/><Relationship Id="rId13" Type="http://schemas.openxmlformats.org/officeDocument/2006/relationships/hyperlink" Target="https://artexport.hu/m42fr-munkacsy-szintetikus-macskanyelv-ecset-06?keyword=munk%C3%A1csy" TargetMode="External"/><Relationship Id="rId12" Type="http://schemas.openxmlformats.org/officeDocument/2006/relationships/hyperlink" Target="https://artexport.hu/m2005-munkacsy-hosszunyelu-szintetikus-triple-ecset-16?keyword=munk%C3%A1cs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annoncolor.hu/hu/" TargetMode="External"/><Relationship Id="rId15" Type="http://schemas.openxmlformats.org/officeDocument/2006/relationships/hyperlink" Target="https://artexport.hu/m501r-munkacsy-tuhegyu-feher-szintetikus-00?keyword=munk%C3%A1csy" TargetMode="External"/><Relationship Id="rId14" Type="http://schemas.openxmlformats.org/officeDocument/2006/relationships/hyperlink" Target="https://artexport.hu/m1124-munkacsy-macskanyelv-sorte-ecset-08?keyword=munk%C3%A1csy" TargetMode="External"/><Relationship Id="rId17" Type="http://schemas.openxmlformats.org/officeDocument/2006/relationships/hyperlink" Target="https://artexport.hu/m875-munkacsy-tuhegyu-szintetikus-ecset-03?keyword=munk%C3%A1csy" TargetMode="External"/><Relationship Id="rId16" Type="http://schemas.openxmlformats.org/officeDocument/2006/relationships/hyperlink" Target="https://artexport.hu/m7500r-munkacsy-tuhegyu-szintetikus-ecset-06?keyword=munk%C3%A1csy" TargetMode="External"/><Relationship Id="rId5" Type="http://schemas.openxmlformats.org/officeDocument/2006/relationships/styles" Target="styles.xml"/><Relationship Id="rId19" Type="http://schemas.openxmlformats.org/officeDocument/2006/relationships/hyperlink" Target="https://artexport.hu/muveszellato/eszkozok-kiegeszitok/ecsetek-festokesek" TargetMode="External"/><Relationship Id="rId6" Type="http://schemas.openxmlformats.org/officeDocument/2006/relationships/hyperlink" Target="mailto:szegedi@mome.hu" TargetMode="External"/><Relationship Id="rId18" Type="http://schemas.openxmlformats.org/officeDocument/2006/relationships/hyperlink" Target="https://artexport.hu/m200-munkacsy-oszlato-sorte-ecset-06?keyword=munk%C3%A1csy" TargetMode="External"/><Relationship Id="rId7" Type="http://schemas.openxmlformats.org/officeDocument/2006/relationships/hyperlink" Target="https://artexport.hu/uzlet" TargetMode="External"/><Relationship Id="rId8" Type="http://schemas.openxmlformats.org/officeDocument/2006/relationships/hyperlink" Target="https://artexport.hu/muveszellato/festeszet/akrilfestes/akrilfesteke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