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285.0" w:type="dxa"/>
        <w:jc w:val="left"/>
        <w:tblInd w:w="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95"/>
        <w:gridCol w:w="1905"/>
        <w:gridCol w:w="1560"/>
        <w:gridCol w:w="1560"/>
        <w:gridCol w:w="2265"/>
        <w:tblGridChange w:id="0">
          <w:tblGrid>
            <w:gridCol w:w="1995"/>
            <w:gridCol w:w="1905"/>
            <w:gridCol w:w="1560"/>
            <w:gridCol w:w="1560"/>
            <w:gridCol w:w="226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Experimentális design 1. - MINTÁZÁS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Józsa Pál,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pjozsa@g.mome.hu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B-FR-301-MINTAZAS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BA2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 (a teljes tantárgy) 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36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B-FR-301-TERVEZES vagy B-FR-301-JARMUVES-PROJEKT (Járműves specializációra járó hallgató esetén)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B-FR-301-RAJZ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tantárgy célja az experimentális, kísérletező attitűd fejlesztése és az innovatív tervezés alapjainak elsajátítása.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Mintázásai gyakorlat   Természeti forma állatkoponya mintázása léptékváltással.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„látás”,formaérzék,arányérzék fejlesztése. A szerkezet, tömegarányok, a pozitív , negatív formák, formaátmenetek tanulmányozása, értelmezése, átírása és  leképezése.    A hagyományos mintázási eljárások megismerése .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Érti a tervezői folyamat különböző szakaszait/fázisait és azt, hogy ezek hogyan realizálódnak saját tervezői munkájában.</w:t>
            </w:r>
          </w:p>
          <w:p w:rsidR="00000000" w:rsidDel="00000000" w:rsidP="00000000" w:rsidRDefault="00000000" w:rsidRPr="00000000" w14:paraId="0000003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Ismeri a szakmájában alkalmazott legfontosabb prezentációs eszközöket, stílusokat és csatornákat.</w:t>
            </w:r>
          </w:p>
          <w:p w:rsidR="00000000" w:rsidDel="00000000" w:rsidP="00000000" w:rsidRDefault="00000000" w:rsidRPr="00000000" w14:paraId="0000003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3. Tájékozott a design és formatervezés terén végzett kutatás, forrásgyűjtés alapjául szolgáló módszerekben, eljárásokban, technikákban.</w:t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4. Alapvető tudása van a kreativitás mibenlétéről és fejleszthetőségéről.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Általános ötletfejlesztési elveket adaptál design-specifikus problémák megoldására. 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Tudását, intuícióját és ötleteit mint hajtóerőt alkalmazza a tervek és  koncepciók fejlesztésére és alkalmazására. 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3. Releváns adatokat gyűjt, majd azokat elemzi és interpretálja a tervezői koncepciók fejlesztéséhez.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4. A design és formatervezés gyakorlása során tudatos és kreatív munkát végez.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“1. Nyitott az új ismeretekre, módszerekre, kreatív, dinamikus megvalósítási lehetőségekre.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Kritikai megértéssel viszonyul a design, a formatervezés, valamit a kreatív társszakmák történeti és kortárs alkotásaihoz.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3. Innovatív megoldásra törekszik a design és formatervezés alapértékeinek érvényesítéséért.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4. Nyitott más művészeti ágakra/más szakterületekre.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Változó helyzetekben mozgósítja tudását és képességeit.</w:t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Önálló elméleti és gyakorlati szakmai tudását irányított tervezési folyamatokban működteti.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keretében feldolgozandó témakörök, témák: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      </w:t>
              <w:tab/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                  </w:t>
              <w:tab/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shd w:fill="f3f3f3" w:val="clear"/>
                <w:rtl w:val="0"/>
              </w:rPr>
              <w:t xml:space="preserve"> </w:t>
            </w:r>
            <w:r w:rsidDel="00000000" w:rsidR="00000000" w:rsidRPr="00000000">
              <w:rPr>
                <w:shd w:fill="f3f3f3" w:val="clear"/>
                <w:rtl w:val="0"/>
              </w:rPr>
              <w:t xml:space="preserve"> A szerkezet ,  vázépítés,  állékonyság, stabilitás anyagmegmunkálás, </w:t>
            </w:r>
            <w:r w:rsidDel="00000000" w:rsidR="00000000" w:rsidRPr="00000000">
              <w:rPr>
                <w:highlight w:val="white"/>
                <w:rtl w:val="0"/>
              </w:rPr>
              <w:t xml:space="preserve">szerszámhasználat</w:t>
            </w:r>
          </w:p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arány, léptékváltás, pozitív, negatív  és forma,formaátmenet,kemény és lágy forma,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felület,      anyagszerűség,statika, dinamika,  ritmus, tömörítés, redukció, átírás, tömegalakítás.</w:t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A formaalakítás,mintázás eszközei és módszerei</w:t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ind w:left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ind w:left="134"/>
              <w:rPr/>
            </w:pPr>
            <w:bookmarkStart w:colFirst="0" w:colLast="0" w:name="_heading=h.lclubpy8zggv" w:id="4"/>
            <w:bookmarkEnd w:id="4"/>
            <w:r w:rsidDel="00000000" w:rsidR="00000000" w:rsidRPr="00000000">
              <w:rPr>
                <w:rtl w:val="0"/>
              </w:rPr>
              <w:t xml:space="preserve">A kurzus hat héten keresztül heti egy alkalommal történik. Azelső órán a  feladat megbeszélése  után vázépítés  majd a következő órákon  mintázás és folyamatos konzultáció,korrektúra zajlik. </w:t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Folyamatos műterem látogatás és konzultáció. A megadott időpontok szerint és a meghatározott méretben az elkészült szakmailag igényes és befejezett munkák kiállítása a kurzus végén.</w:t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Vázlatok készítése,vázépítés,mintázás </w:t>
            </w:r>
          </w:p>
          <w:p w:rsidR="00000000" w:rsidDel="00000000" w:rsidP="00000000" w:rsidRDefault="00000000" w:rsidRPr="00000000" w14:paraId="0000006A">
            <w:pPr>
              <w:spacing w:after="240" w:before="24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 tanulás környezete: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helyszíne az ábrázoló (mintázás) műterem.</w:t>
            </w:r>
          </w:p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Az értékelés szempontjai:     </w:t>
            </w:r>
            <w:r w:rsidDel="00000000" w:rsidR="00000000" w:rsidRPr="00000000">
              <w:rPr>
                <w:highlight w:val="white"/>
                <w:rtl w:val="0"/>
              </w:rPr>
              <w:t xml:space="preserve">Kreativitás ,motiváció ,szakmai jártasság</w:t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line="240" w:lineRule="auto"/>
              <w:ind w:left="11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·     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120" w:hanging="360"/>
              <w:rPr/>
            </w:pPr>
            <w:r w:rsidDel="00000000" w:rsidR="00000000" w:rsidRPr="00000000">
              <w:rPr>
                <w:rtl w:val="0"/>
              </w:rPr>
              <w:t xml:space="preserve">·       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Kötelező irodalom:  </w:t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Herbert Read A Modern Szobrászat Corvina Kiadó </w:t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7.109374999999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jozsa@g.mo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F1wlgcOtTxowSn3/p1+qfYgTmA==">AMUW2mW7JMTAXCY7wMW89sd0upf+KSpf4JfqadlO+mmZZIRlHQuyo0nHOy/yejKjVyFET6XOfy4i149ov25ht0WhEXuc36nRSjI5jJs/3fFmDm+R4+l+jEDESB9Id2bhpYVFIWf0hiPWwYl5A+fjrIoWL2njC8QuXKMzoXQ97aWgy++C8AeSAuXribxjQwe/2jLEePEE2pvB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