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8C9" w14:textId="77777777" w:rsidR="00E5593A" w:rsidRPr="001F339E" w:rsidRDefault="00043ACF" w:rsidP="001F339E">
      <w:pPr>
        <w:ind w:firstLine="0"/>
        <w:jc w:val="left"/>
        <w:rPr>
          <w:rFonts w:asciiTheme="minorHAnsi" w:hAnsiTheme="minorHAnsi" w:cstheme="minorHAnsi"/>
          <w:b/>
          <w:bCs/>
          <w:lang w:val="en-GB"/>
        </w:rPr>
      </w:pPr>
      <w:r w:rsidRPr="001F339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25745" w:rsidRPr="001F339E">
        <w:rPr>
          <w:rFonts w:asciiTheme="minorHAnsi" w:hAnsiTheme="minorHAnsi" w:cstheme="minorHAnsi"/>
          <w:b/>
          <w:bCs/>
          <w:lang w:val="en-GB"/>
        </w:rPr>
        <w:t>Syllabus</w:t>
      </w:r>
    </w:p>
    <w:tbl>
      <w:tblPr>
        <w:tblW w:w="9353" w:type="dxa"/>
        <w:tblInd w:w="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64"/>
        <w:gridCol w:w="2031"/>
        <w:gridCol w:w="1522"/>
        <w:gridCol w:w="2037"/>
      </w:tblGrid>
      <w:tr w:rsidR="00925745" w:rsidRPr="001F339E" w14:paraId="5E0E5B79" w14:textId="77777777" w:rsidTr="00BF0600">
        <w:trPr>
          <w:trHeight w:val="567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A372" w14:textId="77777777" w:rsidR="00D02A6F" w:rsidRPr="001F339E" w:rsidRDefault="00925745" w:rsidP="001F339E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lang w:val="en-GB"/>
              </w:rPr>
            </w:pPr>
            <w:r w:rsidRPr="001F339E">
              <w:rPr>
                <w:rFonts w:asciiTheme="minorHAnsi" w:hAnsiTheme="minorHAnsi" w:cstheme="minorHAnsi"/>
                <w:lang w:val="en-GB"/>
              </w:rPr>
              <w:t>Course title</w:t>
            </w:r>
            <w:r w:rsidRPr="001F339E">
              <w:rPr>
                <w:rFonts w:asciiTheme="minorHAnsi" w:hAnsiTheme="minorHAnsi" w:cstheme="minorHAnsi"/>
                <w:b w:val="0"/>
                <w:lang w:val="en-GB"/>
              </w:rPr>
              <w:t xml:space="preserve">: </w:t>
            </w:r>
            <w:r w:rsidR="00CA066F">
              <w:rPr>
                <w:rFonts w:asciiTheme="minorHAnsi" w:hAnsiTheme="minorHAnsi" w:cstheme="minorHAnsi"/>
                <w:b w:val="0"/>
                <w:lang w:val="en-GB"/>
              </w:rPr>
              <w:t>Academic Writing</w:t>
            </w:r>
          </w:p>
          <w:p w14:paraId="440A30BE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lang w:val="en-GB" w:eastAsia="hu-HU"/>
              </w:rPr>
            </w:pPr>
            <w:r w:rsidRPr="001F339E">
              <w:rPr>
                <w:rFonts w:asciiTheme="minorHAnsi" w:hAnsiTheme="minorHAnsi" w:cstheme="minorHAnsi"/>
                <w:b/>
                <w:lang w:val="en-GB" w:eastAsia="hu-HU"/>
              </w:rPr>
              <w:t>Language of instruction</w:t>
            </w:r>
            <w:r w:rsidRPr="001F339E">
              <w:rPr>
                <w:rFonts w:asciiTheme="minorHAnsi" w:hAnsiTheme="minorHAnsi" w:cstheme="minorHAnsi"/>
                <w:lang w:val="en-GB" w:eastAsia="hu-HU"/>
              </w:rPr>
              <w:t>:</w:t>
            </w:r>
            <w:r w:rsidRPr="001F339E">
              <w:rPr>
                <w:rFonts w:asciiTheme="minorHAnsi" w:hAnsiTheme="minorHAnsi" w:cstheme="minorHAnsi"/>
                <w:b/>
                <w:lang w:val="en-GB" w:eastAsia="hu-HU"/>
              </w:rPr>
              <w:t xml:space="preserve"> </w:t>
            </w:r>
            <w:r w:rsidRPr="001F339E">
              <w:rPr>
                <w:rFonts w:asciiTheme="minorHAnsi" w:hAnsiTheme="minorHAnsi" w:cstheme="minorHAnsi"/>
                <w:lang w:val="en-GB" w:eastAsia="hu-HU"/>
              </w:rPr>
              <w:t>English</w:t>
            </w:r>
          </w:p>
          <w:p w14:paraId="55FCCB41" w14:textId="77777777" w:rsidR="00E5593A" w:rsidRPr="001F339E" w:rsidRDefault="00925745" w:rsidP="001F339E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lang w:val="en-GB"/>
              </w:rPr>
            </w:pPr>
            <w:r w:rsidRPr="001F339E">
              <w:rPr>
                <w:rFonts w:asciiTheme="minorHAnsi" w:hAnsiTheme="minorHAnsi" w:cstheme="minorHAnsi"/>
                <w:bCs w:val="0"/>
                <w:lang w:val="en-GB"/>
              </w:rPr>
              <w:t>Study year and semester</w:t>
            </w:r>
            <w:r w:rsidRPr="001F339E">
              <w:rPr>
                <w:rFonts w:asciiTheme="minorHAnsi" w:hAnsiTheme="minorHAnsi" w:cstheme="minorHAnsi"/>
                <w:b w:val="0"/>
                <w:bCs w:val="0"/>
                <w:lang w:val="en-GB"/>
              </w:rPr>
              <w:t>:</w:t>
            </w:r>
            <w:r w:rsidR="00BF0600" w:rsidRPr="001F339E">
              <w:rPr>
                <w:rFonts w:asciiTheme="minorHAnsi" w:hAnsiTheme="minorHAnsi" w:cstheme="minorHAnsi"/>
                <w:b w:val="0"/>
                <w:bCs w:val="0"/>
                <w:lang w:val="en-GB"/>
              </w:rPr>
              <w:t xml:space="preserve"> A</w:t>
            </w:r>
            <w:r w:rsidRPr="001F339E">
              <w:rPr>
                <w:rFonts w:asciiTheme="minorHAnsi" w:hAnsiTheme="minorHAnsi" w:cstheme="minorHAnsi"/>
                <w:b w:val="0"/>
                <w:bCs w:val="0"/>
                <w:lang w:val="en-GB"/>
              </w:rPr>
              <w:t>utumn</w:t>
            </w:r>
            <w:r w:rsidR="00BF0600" w:rsidRPr="001F339E">
              <w:rPr>
                <w:rFonts w:asciiTheme="minorHAnsi" w:hAnsiTheme="minorHAnsi" w:cstheme="minorHAnsi"/>
                <w:b w:val="0"/>
                <w:bCs w:val="0"/>
                <w:lang w:val="en-GB"/>
              </w:rPr>
              <w:t>,</w:t>
            </w:r>
            <w:r w:rsidR="00CA066F">
              <w:rPr>
                <w:rFonts w:asciiTheme="minorHAnsi" w:hAnsiTheme="minorHAnsi" w:cstheme="minorHAnsi"/>
                <w:b w:val="0"/>
                <w:bCs w:val="0"/>
                <w:lang w:val="en-GB"/>
              </w:rPr>
              <w:t xml:space="preserve"> 2023/24</w:t>
            </w:r>
          </w:p>
        </w:tc>
      </w:tr>
      <w:tr w:rsidR="00925745" w:rsidRPr="001F339E" w14:paraId="6E948973" w14:textId="77777777" w:rsidTr="00BF0600">
        <w:trPr>
          <w:trHeight w:val="567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0925" w14:textId="77777777" w:rsidR="00925745" w:rsidRPr="001F339E" w:rsidRDefault="00925745" w:rsidP="001F339E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lang w:val="en-GB"/>
              </w:rPr>
            </w:pPr>
            <w:r w:rsidRPr="001F339E">
              <w:rPr>
                <w:rFonts w:asciiTheme="minorHAnsi" w:hAnsiTheme="minorHAnsi" w:cstheme="minorHAnsi"/>
                <w:lang w:val="en-GB"/>
              </w:rPr>
              <w:t>Course lecturer:</w:t>
            </w:r>
            <w:r w:rsidRPr="001F339E">
              <w:rPr>
                <w:rFonts w:asciiTheme="minorHAnsi" w:hAnsiTheme="minorHAnsi" w:cstheme="minorHAnsi"/>
                <w:b w:val="0"/>
                <w:lang w:val="en-GB"/>
              </w:rPr>
              <w:t xml:space="preserve"> Patrick</w:t>
            </w:r>
            <w:r w:rsidR="00BF0600" w:rsidRPr="001F339E">
              <w:rPr>
                <w:rFonts w:asciiTheme="minorHAnsi" w:hAnsiTheme="minorHAnsi" w:cstheme="minorHAnsi"/>
                <w:b w:val="0"/>
                <w:lang w:val="en-GB"/>
              </w:rPr>
              <w:t xml:space="preserve"> Nicholas</w:t>
            </w:r>
            <w:r w:rsidRPr="001F339E">
              <w:rPr>
                <w:rFonts w:asciiTheme="minorHAnsi" w:hAnsiTheme="minorHAnsi" w:cstheme="minorHAnsi"/>
                <w:b w:val="0"/>
                <w:lang w:val="en-GB"/>
              </w:rPr>
              <w:t xml:space="preserve"> Tayler</w:t>
            </w:r>
          </w:p>
          <w:p w14:paraId="65E3C8A0" w14:textId="77777777" w:rsidR="00E5593A" w:rsidRPr="001F339E" w:rsidRDefault="00925745" w:rsidP="001F339E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en-GB"/>
              </w:rPr>
            </w:pPr>
            <w:r w:rsidRPr="001F339E">
              <w:rPr>
                <w:rFonts w:asciiTheme="minorHAnsi" w:hAnsiTheme="minorHAnsi" w:cstheme="minorHAnsi"/>
                <w:lang w:val="en-GB"/>
              </w:rPr>
              <w:t>Email address:</w:t>
            </w:r>
            <w:r w:rsidRPr="001F339E">
              <w:rPr>
                <w:rFonts w:asciiTheme="minorHAnsi" w:hAnsiTheme="minorHAnsi" w:cstheme="minorHAnsi"/>
                <w:b w:val="0"/>
                <w:lang w:val="en-GB"/>
              </w:rPr>
              <w:t xml:space="preserve"> </w:t>
            </w:r>
            <w:hyperlink r:id="rId6" w:history="1">
              <w:r w:rsidRPr="001F339E">
                <w:rPr>
                  <w:rStyle w:val="Hiperhivatkozs"/>
                  <w:rFonts w:asciiTheme="minorHAnsi" w:hAnsiTheme="minorHAnsi" w:cstheme="minorHAnsi"/>
                  <w:b w:val="0"/>
                  <w:lang w:val="en-GB"/>
                </w:rPr>
                <w:t>patricktayler@gmail.com</w:t>
              </w:r>
            </w:hyperlink>
          </w:p>
        </w:tc>
      </w:tr>
      <w:tr w:rsidR="00925745" w:rsidRPr="001F339E" w14:paraId="36A5BC40" w14:textId="77777777" w:rsidTr="00BF0600">
        <w:trPr>
          <w:trHeight w:val="705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ED1F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lang w:val="en-GB"/>
              </w:rPr>
              <w:t>Level and Code</w:t>
            </w:r>
            <w:r w:rsidRPr="001F339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21BAB147" w14:textId="467DFF76" w:rsidR="00925745" w:rsidRPr="001F339E" w:rsidRDefault="00E526E5" w:rsidP="001F339E">
            <w:pPr>
              <w:ind w:firstLine="0"/>
              <w:rPr>
                <w:rFonts w:asciiTheme="minorHAnsi" w:hAnsiTheme="minorHAnsi" w:cstheme="minorHAnsi"/>
                <w:lang w:val="en-GB"/>
              </w:rPr>
            </w:pPr>
            <w:r w:rsidRPr="00E526E5">
              <w:rPr>
                <w:rFonts w:asciiTheme="minorHAnsi" w:hAnsiTheme="minorHAnsi" w:cstheme="minorHAnsi"/>
                <w:lang w:val="en-GB"/>
              </w:rPr>
              <w:t>M-SZ-E-301-THEO-232401-02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C3AB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lang w:val="en-GB"/>
              </w:rPr>
              <w:t>Position in the Curriculum</w:t>
            </w:r>
            <w:r w:rsidRPr="001F339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D72268D" w14:textId="484838DF" w:rsidR="00925745" w:rsidRPr="001F339E" w:rsidRDefault="00E526E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Optional Courses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C83D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lang w:val="en-GB"/>
              </w:rPr>
              <w:t>Recommended semester</w:t>
            </w:r>
            <w:r w:rsidRPr="001F339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0379DE8" w14:textId="1C620784" w:rsidR="00925745" w:rsidRPr="001F339E" w:rsidRDefault="00E526E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1-4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ADA4" w14:textId="77777777" w:rsidR="00BF0600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Credits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: </w:t>
            </w:r>
          </w:p>
          <w:p w14:paraId="5B5F36D5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>5</w:t>
            </w:r>
          </w:p>
          <w:p w14:paraId="6EC76371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CCA0" w14:textId="77777777" w:rsidR="00CA066F" w:rsidRDefault="00925745" w:rsidP="00CA066F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Teaching hours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: </w:t>
            </w:r>
          </w:p>
          <w:p w14:paraId="6E3D0996" w14:textId="36E4E566" w:rsidR="00925745" w:rsidRPr="001F339E" w:rsidRDefault="00E526E5" w:rsidP="00CA066F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48</w:t>
            </w:r>
          </w:p>
        </w:tc>
      </w:tr>
      <w:tr w:rsidR="00925745" w:rsidRPr="001F339E" w14:paraId="11E2C686" w14:textId="77777777" w:rsidTr="00BF0600">
        <w:trPr>
          <w:trHeight w:val="705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A75D" w14:textId="77777777" w:rsidR="00925745" w:rsidRPr="00CA066F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r w:rsidRPr="00CA066F">
              <w:rPr>
                <w:rFonts w:asciiTheme="minorHAnsi" w:hAnsiTheme="minorHAnsi" w:cstheme="minorHAnsi"/>
                <w:b/>
                <w:bCs/>
                <w:lang w:val="de-DE"/>
              </w:rPr>
              <w:t>Related</w:t>
            </w:r>
            <w:proofErr w:type="spellEnd"/>
            <w:r w:rsidRPr="00CA066F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CA066F">
              <w:rPr>
                <w:rFonts w:asciiTheme="minorHAnsi" w:hAnsiTheme="minorHAnsi" w:cstheme="minorHAnsi"/>
                <w:b/>
                <w:bCs/>
                <w:lang w:val="de-DE"/>
              </w:rPr>
              <w:t>codes</w:t>
            </w:r>
            <w:proofErr w:type="spellEnd"/>
            <w:r w:rsidRPr="00CA066F">
              <w:rPr>
                <w:rFonts w:asciiTheme="minorHAnsi" w:hAnsiTheme="minorHAnsi" w:cstheme="minorHAnsi"/>
                <w:bCs/>
                <w:lang w:val="de-DE"/>
              </w:rPr>
              <w:t>:</w:t>
            </w:r>
          </w:p>
          <w:p w14:paraId="19E8F9F5" w14:textId="77777777" w:rsidR="00E526E5" w:rsidRPr="00E526E5" w:rsidRDefault="00E526E5" w:rsidP="00E526E5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526E5">
              <w:rPr>
                <w:rFonts w:asciiTheme="minorHAnsi" w:hAnsiTheme="minorHAnsi" w:cstheme="minorHAnsi"/>
                <w:lang w:val="en-GB"/>
              </w:rPr>
              <w:t>ER-THEO-BA-ELM-232401-02</w:t>
            </w:r>
          </w:p>
          <w:p w14:paraId="4BA85288" w14:textId="2FCD11EF" w:rsidR="00DE452C" w:rsidRPr="00E526E5" w:rsidRDefault="00E526E5" w:rsidP="001F339E">
            <w:pPr>
              <w:ind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hu-HU"/>
              </w:rPr>
            </w:pPr>
            <w:r w:rsidRPr="00E526E5">
              <w:rPr>
                <w:rFonts w:asciiTheme="minorHAnsi" w:hAnsiTheme="minorHAnsi" w:cstheme="minorHAnsi"/>
                <w:lang w:val="en-GB"/>
              </w:rPr>
              <w:t>M-SZ-301-ELM-232401-02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0AA5" w14:textId="77777777" w:rsidR="00BF0600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Type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: </w:t>
            </w:r>
          </w:p>
          <w:p w14:paraId="3F6C0A3F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>seminar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F678" w14:textId="77777777" w:rsidR="00BF0600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lang w:val="en-GB"/>
              </w:rPr>
              <w:t xml:space="preserve">Is it open to sign-up as </w:t>
            </w:r>
            <w:proofErr w:type="gramStart"/>
            <w:r w:rsidRPr="001F339E">
              <w:rPr>
                <w:rFonts w:asciiTheme="minorHAnsi" w:hAnsiTheme="minorHAnsi" w:cstheme="minorHAnsi"/>
                <w:b/>
                <w:lang w:val="en-GB"/>
              </w:rPr>
              <w:t>an  elective</w:t>
            </w:r>
            <w:proofErr w:type="gramEnd"/>
            <w:r w:rsidRPr="001F339E">
              <w:rPr>
                <w:rFonts w:asciiTheme="minorHAnsi" w:hAnsiTheme="minorHAnsi" w:cstheme="minorHAnsi"/>
                <w:b/>
                <w:lang w:val="en-GB"/>
              </w:rPr>
              <w:t xml:space="preserve">? </w:t>
            </w:r>
          </w:p>
          <w:p w14:paraId="47E91C6E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1F339E">
              <w:rPr>
                <w:rFonts w:asciiTheme="minorHAnsi" w:hAnsiTheme="minorHAnsi" w:cstheme="minorHAnsi"/>
                <w:lang w:val="en-GB"/>
              </w:rPr>
              <w:t>yes</w:t>
            </w:r>
          </w:p>
        </w:tc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82B3" w14:textId="77777777" w:rsidR="00BF0600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lang w:val="en-GB"/>
              </w:rPr>
              <w:t>Specific pre-conditions to sign-up as an elective</w:t>
            </w:r>
            <w:r w:rsidRPr="001F339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346E598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925745" w:rsidRPr="001F339E" w14:paraId="03D5DA7E" w14:textId="77777777" w:rsidTr="00BF0600">
        <w:trPr>
          <w:trHeight w:val="661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AF0A" w14:textId="77777777" w:rsidR="00E5593A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Interlinkages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: There are no prerequisites to participate in the seminar, which is independent and not connected to any parallel units.</w:t>
            </w:r>
          </w:p>
        </w:tc>
      </w:tr>
      <w:tr w:rsidR="00925745" w:rsidRPr="001F339E" w14:paraId="40F523ED" w14:textId="77777777" w:rsidTr="00BF0600">
        <w:trPr>
          <w:trHeight w:val="903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CEAB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Aims and Principles:</w:t>
            </w:r>
          </w:p>
          <w:p w14:paraId="31A4471F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The course investigates the various </w:t>
            </w:r>
            <w:r w:rsidR="00BF0600" w:rsidRPr="001F339E">
              <w:rPr>
                <w:rFonts w:asciiTheme="minorHAnsi" w:hAnsiTheme="minorHAnsi" w:cstheme="minorHAnsi"/>
                <w:bCs/>
                <w:lang w:val="en-GB"/>
              </w:rPr>
              <w:t xml:space="preserve">strategies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of 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academic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writing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, </w:t>
            </w:r>
            <w:proofErr w:type="gramStart"/>
            <w:r w:rsidR="00CA066F">
              <w:rPr>
                <w:rFonts w:asciiTheme="minorHAnsi" w:hAnsiTheme="minorHAnsi" w:cstheme="minorHAnsi"/>
                <w:bCs/>
                <w:lang w:val="en-GB"/>
              </w:rPr>
              <w:t>in order to</w:t>
            </w:r>
            <w:proofErr w:type="gramEnd"/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 help students find their individual approach to conducting meaningful research through text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. By seeking out well-grounded practices from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 art criticism, literary theory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,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cop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ywriting</w:t>
            </w:r>
            <w:proofErr w:type="gramEnd"/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and other zones of textuality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,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we aim to discover a wid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e range of verbal possibilities, subverting the pre-programmed, automatic choices inherent to “safely played” academic writing.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During the lessons, we will search for creative responses to the situat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>ion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when somebody from the art world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has to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verbalise their thoughts and intuitions. Apart from developing practical writing skills, we examine the creative possibilities of the reader. We will rely on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close-reading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as a 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 xml:space="preserve">self-reflective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tool. By alluding to a wide range of case studies, we will collectively expand our </w:t>
            </w:r>
            <w:r w:rsidR="00BF0600" w:rsidRPr="001F339E">
              <w:rPr>
                <w:rFonts w:asciiTheme="minorHAnsi" w:hAnsiTheme="minorHAnsi" w:cstheme="minorHAnsi"/>
                <w:bCs/>
                <w:lang w:val="en-GB"/>
              </w:rPr>
              <w:t xml:space="preserve">textual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perspectives in the domain of contemporary art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. </w:t>
            </w:r>
          </w:p>
          <w:p w14:paraId="0649314E" w14:textId="77777777" w:rsidR="00E5593A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During the course I will be glad to help you in overcoming any possible language barriers. Whatever the level of your English knowledge might be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at the moment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>, we will find a way to work together!</w:t>
            </w:r>
          </w:p>
        </w:tc>
      </w:tr>
      <w:tr w:rsidR="00925745" w:rsidRPr="001F339E" w14:paraId="258F91DD" w14:textId="77777777" w:rsidTr="00BF0600">
        <w:trPr>
          <w:trHeight w:val="2499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70037B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Intended learning </w:t>
            </w:r>
            <w:proofErr w:type="gramStart"/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outcomes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(</w:t>
            </w:r>
            <w:proofErr w:type="gramEnd"/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professional and transitive competencies)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  <w:p w14:paraId="3F424AFE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Knowledge: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Gaining new theoretical,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practical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and artistic perspectives on different forms of a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cademic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writing. </w:t>
            </w:r>
          </w:p>
          <w:p w14:paraId="6D43CCC9" w14:textId="77777777" w:rsidR="00CF576C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Skills: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Art writing, creative writing, critical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thinking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and collabo</w:t>
            </w:r>
            <w:r w:rsidR="00CA066F">
              <w:rPr>
                <w:rFonts w:asciiTheme="minorHAnsi" w:hAnsiTheme="minorHAnsi" w:cstheme="minorHAnsi"/>
                <w:bCs/>
                <w:lang w:val="en-GB"/>
              </w:rPr>
              <w:t>rative skills in text-based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interactions.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 xml:space="preserve"> Critical editing skills (creative criticality, critical creativity).</w:t>
            </w:r>
          </w:p>
          <w:p w14:paraId="5D14250B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Attitudes/attributes: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 self-reflective approach to crafting sentences and paragraphs. An open attitude to creating new meanings through text. Close reading </w:t>
            </w:r>
            <w:proofErr w:type="gramStart"/>
            <w:r w:rsidRPr="001F339E">
              <w:rPr>
                <w:rFonts w:asciiTheme="minorHAnsi" w:hAnsiTheme="minorHAnsi" w:cstheme="minorHAnsi"/>
                <w:bCs/>
                <w:lang w:val="en-GB"/>
              </w:rPr>
              <w:t>as a way to</w:t>
            </w:r>
            <w:proofErr w:type="gramEnd"/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assure the precise expression of ideas. Charting new, personally 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>relevant territories of thought and emotion.</w:t>
            </w:r>
          </w:p>
          <w:p w14:paraId="68DDF1BB" w14:textId="77777777" w:rsidR="00E5593A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Autonomy and Responsibility: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Understanding writing as a collective platform for collaboration and engagement. Developing skills in writing to let your personal voice contribute to local and global discourses. Helping you in gaining a more grounded, personal connection to the English language in art-related topics.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 xml:space="preserve"> Establishing our common notions together.</w:t>
            </w:r>
          </w:p>
        </w:tc>
      </w:tr>
      <w:tr w:rsidR="00925745" w:rsidRPr="001F339E" w14:paraId="77B85297" w14:textId="77777777" w:rsidTr="00BF0600">
        <w:trPr>
          <w:trHeight w:val="806"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9997" w14:textId="77777777" w:rsidR="00925745" w:rsidRPr="001F339E" w:rsidRDefault="00925745" w:rsidP="001F339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Course content (topics and themes): </w:t>
            </w:r>
          </w:p>
          <w:p w14:paraId="769FE236" w14:textId="77777777" w:rsidR="00925745" w:rsidRPr="001F339E" w:rsidRDefault="0092574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The course will 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>adapt to the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interests of the students and the direction that the discussion will take us into. Here is a selection of topics and themes we 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 xml:space="preserve">will possibly touch upon in the </w:t>
            </w:r>
            <w:r w:rsidR="001F339E" w:rsidRPr="001F339E">
              <w:rPr>
                <w:rFonts w:asciiTheme="minorHAnsi" w:hAnsiTheme="minorHAnsi" w:cstheme="minorHAnsi"/>
                <w:bCs/>
                <w:lang w:val="en-GB"/>
              </w:rPr>
              <w:t>discursive</w:t>
            </w:r>
            <w:r w:rsidR="00CF576C" w:rsidRPr="001F339E">
              <w:rPr>
                <w:rFonts w:asciiTheme="minorHAnsi" w:hAnsiTheme="minorHAnsi" w:cstheme="minorHAnsi"/>
                <w:bCs/>
                <w:lang w:val="en-GB"/>
              </w:rPr>
              <w:t xml:space="preserve"> space of the classroom.</w:t>
            </w:r>
          </w:p>
          <w:p w14:paraId="6EB61FD6" w14:textId="77777777" w:rsidR="00CF576C" w:rsidRPr="001F339E" w:rsidRDefault="00925745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bCs/>
                <w:i/>
                <w:sz w:val="24"/>
                <w:szCs w:val="24"/>
                <w:lang w:val="en-GB"/>
              </w:rPr>
              <w:t>How</w:t>
            </w:r>
            <w:r w:rsidR="00CA066F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to start finishing</w:t>
            </w:r>
            <w:r w:rsidRPr="001F339E">
              <w:rPr>
                <w:rFonts w:cstheme="minorHAnsi"/>
                <w:bCs/>
                <w:i/>
                <w:sz w:val="24"/>
                <w:szCs w:val="24"/>
                <w:lang w:val="en-GB"/>
              </w:rPr>
              <w:t>?</w:t>
            </w:r>
            <w:r w:rsidRPr="001F339E">
              <w:rPr>
                <w:rFonts w:cstheme="minorHAnsi"/>
                <w:bCs/>
                <w:sz w:val="24"/>
                <w:szCs w:val="24"/>
                <w:lang w:val="en-GB"/>
              </w:rPr>
              <w:t xml:space="preserve"> – the practical aspects of writing: drafting, restructuring, deleting, </w:t>
            </w:r>
            <w:proofErr w:type="gramStart"/>
            <w:r w:rsidRPr="001F339E">
              <w:rPr>
                <w:rFonts w:cstheme="minorHAnsi"/>
                <w:bCs/>
                <w:sz w:val="24"/>
                <w:szCs w:val="24"/>
                <w:lang w:val="en-GB"/>
              </w:rPr>
              <w:t>spellchecking</w:t>
            </w:r>
            <w:proofErr w:type="gramEnd"/>
            <w:r w:rsidRPr="001F339E">
              <w:rPr>
                <w:rFonts w:cstheme="minorHAnsi"/>
                <w:bCs/>
                <w:sz w:val="24"/>
                <w:szCs w:val="24"/>
                <w:lang w:val="en-GB"/>
              </w:rPr>
              <w:t xml:space="preserve"> and finalising</w:t>
            </w:r>
          </w:p>
          <w:p w14:paraId="5BF03613" w14:textId="77777777" w:rsidR="00CF576C" w:rsidRPr="00CA066F" w:rsidRDefault="00925745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Close-reading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– how to construct a well-grounded sentence and paragraph?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br/>
              <w:t xml:space="preserve">(case study: Lori Waxman: </w:t>
            </w: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 xml:space="preserve">60 </w:t>
            </w:r>
            <w:proofErr w:type="spellStart"/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wrd</w:t>
            </w:r>
            <w:proofErr w:type="spellEnd"/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 xml:space="preserve"> / min art critic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)</w:t>
            </w:r>
          </w:p>
          <w:p w14:paraId="29574EF2" w14:textId="77777777" w:rsidR="00CA066F" w:rsidRPr="001F339E" w:rsidRDefault="00CA066F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lastRenderedPageBreak/>
              <w:t>Chicago</w:t>
            </w:r>
            <w:r w:rsidRPr="00CA066F">
              <w:rPr>
                <w:rFonts w:cstheme="minorHAnsi"/>
                <w:bCs/>
                <w:sz w:val="24"/>
                <w:szCs w:val="24"/>
                <w:lang w:val="en-GB"/>
              </w:rPr>
              <w:t>-</w:t>
            </w:r>
            <w:r w:rsidRPr="00CA066F">
              <w:rPr>
                <w:rFonts w:cstheme="minorHAnsi"/>
                <w:bCs/>
                <w:i/>
                <w:sz w:val="24"/>
                <w:szCs w:val="24"/>
                <w:lang w:val="en-GB"/>
              </w:rPr>
              <w:t>style</w:t>
            </w:r>
            <w:r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citation (Notes and Bibliography, Author-Date)</w:t>
            </w:r>
            <w:r w:rsidR="00F54BC5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</w:p>
          <w:p w14:paraId="157C5DCD" w14:textId="77777777" w:rsidR="00CF576C" w:rsidRPr="00F54BC5" w:rsidRDefault="00F54BC5" w:rsidP="00F54BC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 xml:space="preserve">Stylish academic writing – 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what are the bad habits in academic writing? (Helen Sword, Steven Pinker, James McEnerney)</w:t>
            </w:r>
          </w:p>
          <w:p w14:paraId="5F274AAD" w14:textId="77777777" w:rsidR="00CF576C" w:rsidRPr="001F339E" w:rsidRDefault="00925745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Subtext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– how do different layers of meaning creep into the equation?</w:t>
            </w:r>
          </w:p>
          <w:p w14:paraId="0168BA73" w14:textId="77777777" w:rsidR="00F358E8" w:rsidRPr="001F339E" w:rsidRDefault="00925745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Q&amp;A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– how to formulate and answer questions during an </w:t>
            </w:r>
            <w:proofErr w:type="gramStart"/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interview</w:t>
            </w:r>
            <w:proofErr w:type="gramEnd"/>
          </w:p>
          <w:p w14:paraId="29C57AF6" w14:textId="77777777" w:rsidR="00CF576C" w:rsidRPr="001F339E" w:rsidRDefault="00925745" w:rsidP="001F339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International Art English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– overcomplicating and simplifying sentences</w:t>
            </w:r>
            <w:r w:rsidR="00984458"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, English as a global language, transparency (Flesch-Kincaid reading ease score)</w:t>
            </w:r>
          </w:p>
          <w:p w14:paraId="180AF727" w14:textId="77777777" w:rsidR="00E5593A" w:rsidRPr="00F54BC5" w:rsidRDefault="00925745" w:rsidP="00F54BC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76" w:hanging="276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1F339E">
              <w:rPr>
                <w:rFonts w:eastAsia="PMingLiU" w:cstheme="minorHAnsi"/>
                <w:bCs/>
                <w:i/>
                <w:sz w:val="24"/>
                <w:szCs w:val="24"/>
                <w:lang w:val="en-GB" w:eastAsia="en-US"/>
              </w:rPr>
              <w:t>‘Criticofiction’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– facts, post-</w:t>
            </w:r>
            <w:proofErr w:type="gramStart"/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truth</w:t>
            </w:r>
            <w:proofErr w:type="gramEnd"/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 and subjective hallucinations in art writing</w:t>
            </w:r>
          </w:p>
        </w:tc>
      </w:tr>
      <w:tr w:rsidR="00925745" w:rsidRPr="001F339E" w14:paraId="60FFA3F8" w14:textId="77777777" w:rsidTr="00BF0600">
        <w:trPr>
          <w:trHeight w:val="675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74FC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Specificity of the learning process: </w:t>
            </w:r>
          </w:p>
          <w:p w14:paraId="04A5CF07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Teaching method: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984458" w:rsidRPr="001F339E">
              <w:rPr>
                <w:rFonts w:asciiTheme="minorHAnsi" w:hAnsiTheme="minorHAnsi" w:cstheme="minorHAnsi"/>
                <w:bCs/>
                <w:lang w:val="en-GB"/>
              </w:rPr>
              <w:t>In general, w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e will start each lesson with a presentation on a given topic. A moderated group discussion will follow. In the second half, we will reflect on the finished </w:t>
            </w:r>
            <w:r w:rsidR="00F54BC5">
              <w:rPr>
                <w:rFonts w:asciiTheme="minorHAnsi" w:hAnsiTheme="minorHAnsi" w:cstheme="minorHAnsi"/>
                <w:bCs/>
                <w:lang w:val="en-GB"/>
              </w:rPr>
              <w:t xml:space="preserve">in- class 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assignments, examining possible issues and perspectives. </w:t>
            </w:r>
          </w:p>
          <w:p w14:paraId="6803ED2C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Schedule</w:t>
            </w:r>
            <w:proofErr w:type="gramStart"/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F54BC5" w:rsidRPr="00F54BC5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?</w:t>
            </w:r>
            <w:proofErr w:type="gramEnd"/>
          </w:p>
          <w:p w14:paraId="79AEA293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Possible tasks and assignments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  <w:p w14:paraId="3B9FC954" w14:textId="77777777" w:rsidR="00984458" w:rsidRPr="001F339E" w:rsidRDefault="00F54BC5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Compulsory task (max. 10,</w:t>
            </w:r>
            <w:r w:rsidR="00984458" w:rsidRPr="001F339E">
              <w:rPr>
                <w:rFonts w:asciiTheme="minorHAnsi" w:hAnsiTheme="minorHAnsi" w:cstheme="minorHAnsi"/>
                <w:bCs/>
                <w:lang w:val="en-GB"/>
              </w:rPr>
              <w:t>000 characters):</w:t>
            </w:r>
          </w:p>
          <w:p w14:paraId="7BFB72F4" w14:textId="77777777" w:rsidR="00984458" w:rsidRPr="001F339E" w:rsidRDefault="00984458" w:rsidP="001F339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76" w:hanging="276"/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</w:pP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connecting the toolkit of fiction and </w:t>
            </w:r>
            <w:r w:rsidR="00F54BC5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art 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criticism </w:t>
            </w:r>
            <w:r w:rsidR="00F54BC5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 xml:space="preserve">and academic writing </w:t>
            </w:r>
            <w:r w:rsidRPr="001F339E">
              <w:rPr>
                <w:rFonts w:eastAsia="PMingLiU" w:cstheme="minorHAnsi"/>
                <w:bCs/>
                <w:sz w:val="24"/>
                <w:szCs w:val="24"/>
                <w:lang w:val="en-GB" w:eastAsia="en-US"/>
              </w:rPr>
              <w:t>in a subversive text</w:t>
            </w:r>
          </w:p>
          <w:p w14:paraId="7875F9DE" w14:textId="77777777" w:rsidR="00E5593A" w:rsidRPr="001F339E" w:rsidRDefault="00A31DA8" w:rsidP="00F54BC5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Learning environment: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984458" w:rsidRPr="001F339E">
              <w:rPr>
                <w:rFonts w:asciiTheme="minorHAnsi" w:hAnsiTheme="minorHAnsi" w:cstheme="minorHAnsi"/>
                <w:bCs/>
                <w:lang w:val="en-GB"/>
              </w:rPr>
              <w:t>classroom</w:t>
            </w:r>
          </w:p>
        </w:tc>
      </w:tr>
      <w:tr w:rsidR="00925745" w:rsidRPr="001F339E" w14:paraId="14C28263" w14:textId="77777777" w:rsidTr="00BF0600">
        <w:trPr>
          <w:trHeight w:val="653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4257B4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Assessment:</w:t>
            </w:r>
          </w:p>
          <w:p w14:paraId="6E2B82D5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Assignments: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At the end of the course the student</w:t>
            </w:r>
            <w:r w:rsidR="00F54BC5">
              <w:rPr>
                <w:rFonts w:asciiTheme="minorHAnsi" w:hAnsiTheme="minorHAnsi" w:cstheme="minorHAnsi"/>
                <w:bCs/>
                <w:lang w:val="en-GB"/>
              </w:rPr>
              <w:t>s will be asked to create a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complex textual piece</w:t>
            </w:r>
            <w:r w:rsidR="00984458" w:rsidRPr="001F339E">
              <w:rPr>
                <w:rFonts w:asciiTheme="minorHAnsi" w:hAnsiTheme="minorHAnsi" w:cstheme="minorHAnsi"/>
                <w:bCs/>
                <w:lang w:val="en-GB"/>
              </w:rPr>
              <w:t xml:space="preserve"> (max. </w:t>
            </w:r>
            <w:r w:rsidR="00F54BC5">
              <w:rPr>
                <w:rFonts w:asciiTheme="minorHAnsi" w:hAnsiTheme="minorHAnsi" w:cstheme="minorHAnsi"/>
                <w:bCs/>
                <w:lang w:val="en-GB"/>
              </w:rPr>
              <w:t>10,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000 characters), that will summarise the scope of the questions and issues touched upon during the seminar. </w:t>
            </w:r>
          </w:p>
          <w:p w14:paraId="16471B8B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Assessment method: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paper</w:t>
            </w:r>
            <w:r w:rsidR="00F54BC5">
              <w:rPr>
                <w:rFonts w:asciiTheme="minorHAnsi" w:hAnsiTheme="minorHAnsi" w:cstheme="minorHAnsi"/>
                <w:bCs/>
                <w:lang w:val="en-GB"/>
              </w:rPr>
              <w:t xml:space="preserve"> (max. 10,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000 characters)</w:t>
            </w:r>
          </w:p>
          <w:p w14:paraId="40F86835" w14:textId="77777777" w:rsidR="00E5593A" w:rsidRPr="001F339E" w:rsidRDefault="00A31DA8" w:rsidP="00F54BC5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Assessment criteria: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Evaluation is to be based on the active participation of the student, and the final seminar paper.</w:t>
            </w:r>
          </w:p>
        </w:tc>
      </w:tr>
      <w:tr w:rsidR="00925745" w:rsidRPr="001F339E" w14:paraId="45417215" w14:textId="77777777" w:rsidTr="00BF0600">
        <w:trPr>
          <w:trHeight w:val="653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10CE3C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Calculation of grade:</w:t>
            </w:r>
          </w:p>
          <w:p w14:paraId="70C48519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>- classroom wo</w:t>
            </w:r>
            <w:r w:rsidR="00F54BC5">
              <w:rPr>
                <w:rFonts w:asciiTheme="minorHAnsi" w:hAnsiTheme="minorHAnsi" w:cstheme="minorHAnsi"/>
                <w:bCs/>
                <w:lang w:val="en-GB"/>
              </w:rPr>
              <w:t>rk (attendance, contribution): 5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>0 %</w:t>
            </w:r>
          </w:p>
          <w:p w14:paraId="3E32FDDA" w14:textId="77777777" w:rsidR="00E5593A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Cs/>
                <w:lang w:val="en-GB"/>
              </w:rPr>
              <w:t>- seminar paper:  50 %</w:t>
            </w:r>
          </w:p>
        </w:tc>
      </w:tr>
      <w:tr w:rsidR="00925745" w:rsidRPr="001F339E" w14:paraId="1FBE399B" w14:textId="77777777" w:rsidTr="00BF0600">
        <w:trPr>
          <w:trHeight w:val="1351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59F4" w14:textId="77777777" w:rsidR="00A31DA8" w:rsidRPr="001F339E" w:rsidRDefault="00A31DA8" w:rsidP="001F339E">
            <w:pPr>
              <w:ind w:firstLine="0"/>
              <w:rPr>
                <w:rFonts w:asciiTheme="minorHAnsi" w:hAnsiTheme="minorHAnsi" w:cstheme="minorHAnsi"/>
                <w:b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Some books and other sources of information you might find useful and interesting:</w:t>
            </w:r>
          </w:p>
          <w:p w14:paraId="0D01ED0A" w14:textId="77777777" w:rsidR="00A31DA8" w:rsidRPr="001F339E" w:rsidRDefault="00035171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>Gilda WILLIAMS</w:t>
            </w:r>
            <w:r w:rsidR="00A31DA8" w:rsidRPr="001F339E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A31DA8" w:rsidRPr="001F339E">
              <w:rPr>
                <w:rFonts w:cstheme="minorHAnsi"/>
                <w:i/>
                <w:sz w:val="24"/>
                <w:szCs w:val="24"/>
                <w:lang w:val="en-GB"/>
              </w:rPr>
              <w:t>How to Write About Contemporary Art</w:t>
            </w:r>
            <w:r w:rsidR="00A31DA8" w:rsidRPr="001F339E">
              <w:rPr>
                <w:rFonts w:cstheme="minorHAnsi"/>
                <w:sz w:val="24"/>
                <w:szCs w:val="24"/>
                <w:lang w:val="en-GB"/>
              </w:rPr>
              <w:t>, Thames &amp; Hudson, London</w:t>
            </w:r>
            <w:r w:rsidR="00984458" w:rsidRPr="001F339E">
              <w:rPr>
                <w:rFonts w:cstheme="minorHAnsi"/>
                <w:sz w:val="24"/>
                <w:szCs w:val="24"/>
                <w:lang w:val="en-GB"/>
              </w:rPr>
              <w:t>, 2014</w:t>
            </w:r>
          </w:p>
          <w:p w14:paraId="1DEF54CD" w14:textId="77777777" w:rsidR="00457A9F" w:rsidRPr="001F339E" w:rsidRDefault="00457A9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David LODGE: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The Art of Fiction, 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Penguin Books, London, 1992</w:t>
            </w:r>
          </w:p>
          <w:p w14:paraId="019510D9" w14:textId="77777777" w:rsidR="00457A9F" w:rsidRPr="001F339E" w:rsidRDefault="00457A9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Helen SWORD: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Stylish Academic Writing, 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Harvard University Press, 2012</w:t>
            </w:r>
          </w:p>
          <w:p w14:paraId="4EB3F62D" w14:textId="77777777" w:rsidR="00457A9F" w:rsidRPr="001F339E" w:rsidRDefault="00457A9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Helen SWORD: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The Writer’s Diet, 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University of Chicago Press, 2015</w:t>
            </w:r>
          </w:p>
          <w:p w14:paraId="68F7EFAB" w14:textId="77777777" w:rsidR="00457A9F" w:rsidRDefault="00457A9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Steven PINKER: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The Sense of Style, 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Penguin Books, 2015</w:t>
            </w:r>
          </w:p>
          <w:p w14:paraId="0AB257D4" w14:textId="77777777" w:rsidR="00F54BC5" w:rsidRDefault="00F54BC5" w:rsidP="00F54BC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Bryan GARNER, David Foster WALLACE: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 xml:space="preserve">Quack That Way, </w:t>
            </w:r>
            <w:r>
              <w:rPr>
                <w:rFonts w:cstheme="minorHAnsi"/>
                <w:sz w:val="24"/>
                <w:szCs w:val="24"/>
                <w:lang w:val="en-GB"/>
              </w:rPr>
              <w:t>Rose Pen Books, 2013</w:t>
            </w:r>
          </w:p>
          <w:p w14:paraId="76E01849" w14:textId="77777777" w:rsidR="00F54BC5" w:rsidRPr="00F54BC5" w:rsidRDefault="00F54BC5" w:rsidP="00F54BC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Francis-Noël THOMAS,</w:t>
            </w:r>
            <w:r w:rsidRPr="00F54BC5">
              <w:rPr>
                <w:rFonts w:cstheme="minorHAnsi"/>
                <w:sz w:val="24"/>
                <w:szCs w:val="24"/>
                <w:lang w:val="en-GB"/>
              </w:rPr>
              <w:t xml:space="preserve"> Mark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TURNER: </w:t>
            </w:r>
            <w:r w:rsidRPr="00F54BC5">
              <w:rPr>
                <w:rFonts w:cstheme="minorHAnsi"/>
                <w:i/>
                <w:sz w:val="24"/>
                <w:szCs w:val="24"/>
                <w:lang w:val="en-GB"/>
              </w:rPr>
              <w:t>Clear and Simple as the Truth: Writing Classic Prose</w:t>
            </w:r>
            <w:r>
              <w:rPr>
                <w:rFonts w:cstheme="minorHAnsi"/>
                <w:sz w:val="24"/>
                <w:szCs w:val="24"/>
                <w:lang w:val="en-GB"/>
              </w:rPr>
              <w:t>, Princeton University Press, 2011</w:t>
            </w:r>
          </w:p>
          <w:p w14:paraId="0E10922C" w14:textId="77777777" w:rsidR="00A31DA8" w:rsidRPr="001F339E" w:rsidRDefault="00A31DA8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>Har</w:t>
            </w:r>
            <w:r w:rsidR="00035171" w:rsidRPr="001F339E">
              <w:rPr>
                <w:rFonts w:cstheme="minorHAnsi"/>
                <w:sz w:val="24"/>
                <w:szCs w:val="24"/>
                <w:lang w:val="en-GB"/>
              </w:rPr>
              <w:t>uki MURAKAMI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>What I talk about when I talk about running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, Vintage Books, London, 2008</w:t>
            </w:r>
          </w:p>
          <w:p w14:paraId="2CC459F5" w14:textId="77777777" w:rsidR="00A31DA8" w:rsidRPr="001F339E" w:rsidRDefault="00035171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>Umberto ECO</w:t>
            </w:r>
            <w:r w:rsidR="00A31DA8" w:rsidRPr="001F339E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A31DA8"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How to Write a </w:t>
            </w:r>
            <w:proofErr w:type="gramStart"/>
            <w:r w:rsidR="00A31DA8" w:rsidRPr="001F339E">
              <w:rPr>
                <w:rFonts w:cstheme="minorHAnsi"/>
                <w:i/>
                <w:sz w:val="24"/>
                <w:szCs w:val="24"/>
                <w:lang w:val="en-GB"/>
              </w:rPr>
              <w:t>Thesis</w:t>
            </w:r>
            <w:proofErr w:type="gramEnd"/>
            <w:r w:rsidR="00A31DA8" w:rsidRPr="001F339E">
              <w:rPr>
                <w:rFonts w:cstheme="minorHAnsi"/>
                <w:sz w:val="24"/>
                <w:szCs w:val="24"/>
                <w:lang w:val="en-GB"/>
              </w:rPr>
              <w:t>, 1977</w:t>
            </w:r>
          </w:p>
          <w:p w14:paraId="03BBD9C9" w14:textId="77777777" w:rsidR="00457A9F" w:rsidRPr="001F339E" w:rsidRDefault="00457A9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Stephen KING: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On Writing, </w:t>
            </w:r>
            <w:r w:rsidR="00094E8F" w:rsidRPr="001F339E">
              <w:rPr>
                <w:rFonts w:cstheme="minorHAnsi"/>
                <w:i/>
                <w:sz w:val="24"/>
                <w:szCs w:val="24"/>
                <w:lang w:val="en-GB"/>
              </w:rPr>
              <w:t xml:space="preserve">A Memoir of the Craft, </w:t>
            </w:r>
            <w:r w:rsidR="00094E8F" w:rsidRPr="001F339E">
              <w:rPr>
                <w:rFonts w:cstheme="minorHAnsi"/>
                <w:sz w:val="24"/>
                <w:szCs w:val="24"/>
                <w:lang w:val="en-GB"/>
              </w:rPr>
              <w:t>Hodder Paperbacks, 2012</w:t>
            </w:r>
          </w:p>
          <w:p w14:paraId="589E95F6" w14:textId="77777777" w:rsidR="00094E8F" w:rsidRPr="001F339E" w:rsidRDefault="00094E8F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Stephen EARNSHAW: </w:t>
            </w:r>
            <w:r w:rsidRPr="001F339E">
              <w:rPr>
                <w:rFonts w:cstheme="minorHAnsi"/>
                <w:i/>
                <w:sz w:val="24"/>
                <w:szCs w:val="24"/>
                <w:lang w:val="en-GB"/>
              </w:rPr>
              <w:t>The Handbook of Creative Writing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>, Edinburgh University Press, 2007</w:t>
            </w:r>
          </w:p>
          <w:p w14:paraId="56EBE312" w14:textId="77777777" w:rsidR="00035171" w:rsidRPr="001F339E" w:rsidRDefault="00035171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r w:rsidRPr="001F339E">
              <w:rPr>
                <w:rFonts w:cstheme="minorHAnsi"/>
                <w:sz w:val="24"/>
                <w:szCs w:val="24"/>
                <w:lang w:val="en-GB"/>
              </w:rPr>
              <w:t>Craig SHRIVES</w:t>
            </w:r>
            <w:r w:rsidR="00984458" w:rsidRPr="001F339E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984458" w:rsidRPr="001F339E">
              <w:rPr>
                <w:rFonts w:cstheme="minorHAnsi"/>
                <w:i/>
                <w:sz w:val="24"/>
                <w:szCs w:val="24"/>
                <w:lang w:val="en-GB"/>
              </w:rPr>
              <w:t>Grammar Rules, Writing with Military Precision,</w:t>
            </w:r>
            <w:r w:rsidRPr="001F339E">
              <w:rPr>
                <w:rFonts w:cstheme="minorHAnsi"/>
                <w:sz w:val="24"/>
                <w:szCs w:val="24"/>
                <w:lang w:val="en-GB"/>
              </w:rPr>
              <w:t xml:space="preserve"> Kyle Books, London, 2001</w:t>
            </w:r>
          </w:p>
          <w:p w14:paraId="3273082D" w14:textId="77777777" w:rsidR="00035171" w:rsidRPr="001F339E" w:rsidRDefault="00035171" w:rsidP="001F339E">
            <w:pPr>
              <w:ind w:firstLin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t>A selection of further readings:</w:t>
            </w:r>
          </w:p>
          <w:p w14:paraId="020D69A3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7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https://www.canopycanopycanopy.com/contents/international_art_english</w:t>
              </w:r>
            </w:hyperlink>
          </w:p>
          <w:p w14:paraId="579A4A09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8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https://www.e-flux.com/journal/45/60103/english-and-all-that/</w:t>
              </w:r>
            </w:hyperlink>
          </w:p>
          <w:p w14:paraId="55172179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9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https://www.e-flux.com/journal/45/60100/international-disco-latin/</w:t>
              </w:r>
            </w:hyperlink>
          </w:p>
          <w:p w14:paraId="736C0681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0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https://hyperallergic.com/60675/how-not-to-write-like-an-art-critic/</w:t>
              </w:r>
            </w:hyperlink>
          </w:p>
          <w:p w14:paraId="1242841E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hyperlink r:id="rId11" w:history="1">
              <w:r w:rsidR="00035171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https://hyperallergic.com/66348/when-artspeak-masks-oppression/</w:t>
              </w:r>
            </w:hyperlink>
          </w:p>
          <w:p w14:paraId="1CD3331D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2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https://monoskop.org/images/1/1e/Elkins_James_What_Happened_to_Art_Criticism_2003.pdf</w:t>
              </w:r>
            </w:hyperlink>
          </w:p>
          <w:p w14:paraId="6D5CAC8F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3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http://www.cpanda.org/data/a00052/Visual%20Art%20Critic%20Report.pdf</w:t>
              </w:r>
            </w:hyperlink>
          </w:p>
          <w:p w14:paraId="1754DFAA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4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http://oritgat.com/Art-Criticism-in-the-Age-of-Yelp</w:t>
              </w:r>
            </w:hyperlink>
          </w:p>
          <w:p w14:paraId="2E153E06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5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https://www.frieze.com/article/altercritics</w:t>
              </w:r>
            </w:hyperlink>
          </w:p>
          <w:p w14:paraId="7FF927AB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6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https://www.frieze.com/article/11-statements-around-art-writing</w:t>
              </w:r>
            </w:hyperlink>
          </w:p>
          <w:p w14:paraId="1473D3DE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7" w:history="1">
              <w:r w:rsidR="001F339E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https://www.frieze.com/article/who-do-you-think-youre-talking</w:t>
              </w:r>
            </w:hyperlink>
            <w:r w:rsidR="001F339E" w:rsidRPr="001F339E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</w:p>
          <w:p w14:paraId="3A93B228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8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https://www.frieze.com/article/please-release-me</w:t>
              </w:r>
            </w:hyperlink>
          </w:p>
          <w:p w14:paraId="4F267F73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19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https://www.theguardian.com/artanddesign/jonathanjonesblog/2009/apr/24/art-criticism</w:t>
              </w:r>
            </w:hyperlink>
          </w:p>
          <w:p w14:paraId="12F42D3B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20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https://archive.ica.art/bulletin/notes-art-criticism-practice</w:t>
              </w:r>
            </w:hyperlink>
          </w:p>
          <w:p w14:paraId="3C77EABA" w14:textId="77777777" w:rsidR="00035171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Style w:val="Hiperhivatkozs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hyperlink r:id="rId21" w:history="1">
              <w:r w:rsidR="00A31DA8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https://aklatangbayan.files.wordpress.com/2013/06/state_of_art_criticism.pdf</w:t>
              </w:r>
            </w:hyperlink>
          </w:p>
          <w:p w14:paraId="5F74C78C" w14:textId="77777777" w:rsidR="001F339E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hyperlink r:id="rId22" w:history="1">
              <w:r w:rsidR="001F339E" w:rsidRPr="001F339E">
                <w:rPr>
                  <w:rStyle w:val="Hiperhivatkozs"/>
                  <w:rFonts w:cstheme="minorHAnsi"/>
                  <w:bCs/>
                  <w:i/>
                  <w:sz w:val="24"/>
                  <w:szCs w:val="24"/>
                  <w:lang w:val="en-GB"/>
                </w:rPr>
                <w:t>https://60wrdmin.org/home.html</w:t>
              </w:r>
            </w:hyperlink>
          </w:p>
          <w:p w14:paraId="1E1827DE" w14:textId="77777777" w:rsidR="001F339E" w:rsidRPr="001F339E" w:rsidRDefault="00000000" w:rsidP="001F339E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76" w:hanging="276"/>
              <w:rPr>
                <w:rFonts w:cstheme="minorHAnsi"/>
                <w:sz w:val="24"/>
                <w:szCs w:val="24"/>
                <w:lang w:val="en-GB"/>
              </w:rPr>
            </w:pPr>
            <w:hyperlink r:id="rId23" w:history="1">
              <w:r w:rsidR="001F339E" w:rsidRPr="001F339E">
                <w:rPr>
                  <w:rStyle w:val="Hiperhivatkozs"/>
                  <w:rFonts w:cstheme="minorHAnsi"/>
                  <w:sz w:val="24"/>
                  <w:szCs w:val="24"/>
                  <w:lang w:val="en-GB"/>
                </w:rPr>
                <w:t>https://arielfeminisms.dk/ygrg</w:t>
              </w:r>
            </w:hyperlink>
          </w:p>
        </w:tc>
      </w:tr>
      <w:tr w:rsidR="00925745" w:rsidRPr="001F339E" w14:paraId="3170D833" w14:textId="77777777" w:rsidTr="00BF0600">
        <w:trPr>
          <w:trHeight w:val="271"/>
        </w:trPr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AD7F" w14:textId="77777777" w:rsidR="00E5593A" w:rsidRPr="001F339E" w:rsidRDefault="00A31DA8" w:rsidP="001F339E">
            <w:pPr>
              <w:ind w:firstLine="0"/>
              <w:rPr>
                <w:rFonts w:asciiTheme="minorHAnsi" w:hAnsiTheme="minorHAnsi" w:cstheme="minorHAnsi"/>
                <w:bCs/>
                <w:lang w:val="en-GB"/>
              </w:rPr>
            </w:pPr>
            <w:r w:rsidRPr="001F339E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Schedule and venue for personal consultation:</w:t>
            </w:r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 I am available for personal consultations (in English, German and Hungarian). You can reach me via email to discuss a one-on-one appointment: </w:t>
            </w:r>
            <w:hyperlink r:id="rId24" w:history="1">
              <w:r w:rsidRPr="001F339E">
                <w:rPr>
                  <w:rStyle w:val="Hiperhivatkozs"/>
                  <w:rFonts w:asciiTheme="minorHAnsi" w:hAnsiTheme="minorHAnsi" w:cstheme="minorHAnsi"/>
                  <w:bCs/>
                  <w:lang w:val="en-GB"/>
                </w:rPr>
                <w:t>patricktayler@gmail.com</w:t>
              </w:r>
            </w:hyperlink>
            <w:r w:rsidRPr="001F339E">
              <w:rPr>
                <w:rFonts w:asciiTheme="minorHAnsi" w:hAnsiTheme="minorHAnsi" w:cstheme="minorHAnsi"/>
                <w:bCs/>
                <w:lang w:val="en-GB"/>
              </w:rPr>
              <w:t xml:space="preserve">. </w:t>
            </w:r>
          </w:p>
        </w:tc>
      </w:tr>
    </w:tbl>
    <w:p w14:paraId="5122E80E" w14:textId="77777777" w:rsidR="00E5593A" w:rsidRPr="001F339E" w:rsidRDefault="00E5593A" w:rsidP="001F339E">
      <w:pPr>
        <w:ind w:firstLine="0"/>
        <w:rPr>
          <w:rFonts w:asciiTheme="minorHAnsi" w:hAnsiTheme="minorHAnsi" w:cstheme="minorHAnsi"/>
          <w:lang w:val="en-GB"/>
        </w:rPr>
      </w:pPr>
    </w:p>
    <w:p w14:paraId="432D3E86" w14:textId="77777777" w:rsidR="00E5593A" w:rsidRPr="001F339E" w:rsidRDefault="00E5593A" w:rsidP="001F339E">
      <w:pPr>
        <w:ind w:firstLine="0"/>
        <w:rPr>
          <w:rFonts w:asciiTheme="minorHAnsi" w:hAnsiTheme="minorHAnsi" w:cstheme="minorHAnsi"/>
          <w:lang w:val="en-GB"/>
        </w:rPr>
      </w:pPr>
    </w:p>
    <w:sectPr w:rsidR="00E5593A" w:rsidRPr="001F339E">
      <w:pgSz w:w="11906" w:h="16838"/>
      <w:pgMar w:top="851" w:right="985" w:bottom="993" w:left="147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55A"/>
    <w:multiLevelType w:val="hybridMultilevel"/>
    <w:tmpl w:val="9DDEE60C"/>
    <w:lvl w:ilvl="0" w:tplc="B55047F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54E"/>
    <w:multiLevelType w:val="hybridMultilevel"/>
    <w:tmpl w:val="F0CC7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1BDF"/>
    <w:multiLevelType w:val="multilevel"/>
    <w:tmpl w:val="E018B93E"/>
    <w:lvl w:ilvl="0">
      <w:start w:val="1"/>
      <w:numFmt w:val="upperRoman"/>
      <w:pStyle w:val="Cmsor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ind w:left="0" w:firstLine="0"/>
      </w:pPr>
      <w:rPr>
        <w:rFonts w:cs="Times New Roman"/>
        <w:b w:val="0"/>
        <w:sz w:val="22"/>
      </w:rPr>
    </w:lvl>
    <w:lvl w:ilvl="3">
      <w:start w:val="1"/>
      <w:numFmt w:val="decimal"/>
      <w:pStyle w:val="Cmsor4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BF420F2"/>
    <w:multiLevelType w:val="multilevel"/>
    <w:tmpl w:val="598479D4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BC4B63"/>
    <w:multiLevelType w:val="hybridMultilevel"/>
    <w:tmpl w:val="D2083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B37"/>
    <w:multiLevelType w:val="hybridMultilevel"/>
    <w:tmpl w:val="FECA0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E83"/>
    <w:multiLevelType w:val="hybridMultilevel"/>
    <w:tmpl w:val="627E00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C65FB0">
      <w:numFmt w:val="bullet"/>
      <w:lvlText w:val="–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09C6"/>
    <w:multiLevelType w:val="hybridMultilevel"/>
    <w:tmpl w:val="651428B4"/>
    <w:lvl w:ilvl="0" w:tplc="374CE78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DD"/>
    <w:multiLevelType w:val="hybridMultilevel"/>
    <w:tmpl w:val="322076C4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D97F4E"/>
    <w:multiLevelType w:val="hybridMultilevel"/>
    <w:tmpl w:val="AFD07570"/>
    <w:lvl w:ilvl="0" w:tplc="FDB6C150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71D74"/>
    <w:multiLevelType w:val="hybridMultilevel"/>
    <w:tmpl w:val="EC72678C"/>
    <w:lvl w:ilvl="0" w:tplc="C2746F0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88540">
    <w:abstractNumId w:val="2"/>
  </w:num>
  <w:num w:numId="2" w16cid:durableId="636766016">
    <w:abstractNumId w:val="3"/>
  </w:num>
  <w:num w:numId="3" w16cid:durableId="1689788612">
    <w:abstractNumId w:val="6"/>
  </w:num>
  <w:num w:numId="4" w16cid:durableId="1675645897">
    <w:abstractNumId w:val="8"/>
  </w:num>
  <w:num w:numId="5" w16cid:durableId="659382127">
    <w:abstractNumId w:val="9"/>
  </w:num>
  <w:num w:numId="6" w16cid:durableId="240453652">
    <w:abstractNumId w:val="0"/>
  </w:num>
  <w:num w:numId="7" w16cid:durableId="1109622290">
    <w:abstractNumId w:val="4"/>
  </w:num>
  <w:num w:numId="8" w16cid:durableId="1670331738">
    <w:abstractNumId w:val="10"/>
  </w:num>
  <w:num w:numId="9" w16cid:durableId="590897027">
    <w:abstractNumId w:val="1"/>
  </w:num>
  <w:num w:numId="10" w16cid:durableId="2059356475">
    <w:abstractNumId w:val="5"/>
  </w:num>
  <w:num w:numId="11" w16cid:durableId="1407848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zMTMzMzK0MDEyNzdV0lEKTi0uzszPAykwqgUA2KsyOiwAAAA="/>
  </w:docVars>
  <w:rsids>
    <w:rsidRoot w:val="00E5593A"/>
    <w:rsid w:val="00035171"/>
    <w:rsid w:val="00043ACF"/>
    <w:rsid w:val="00094E8F"/>
    <w:rsid w:val="001F339E"/>
    <w:rsid w:val="00457A9F"/>
    <w:rsid w:val="00925745"/>
    <w:rsid w:val="0096306B"/>
    <w:rsid w:val="00984458"/>
    <w:rsid w:val="00A31DA8"/>
    <w:rsid w:val="00BF0600"/>
    <w:rsid w:val="00CA066F"/>
    <w:rsid w:val="00CF576C"/>
    <w:rsid w:val="00D02A6F"/>
    <w:rsid w:val="00DE452C"/>
    <w:rsid w:val="00E526E5"/>
    <w:rsid w:val="00E5593A"/>
    <w:rsid w:val="00F358E8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4B5"/>
  <w15:docId w15:val="{BB4CF03B-A85B-4369-A31F-5C350BD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PMingLiU" w:hAnsi="Cambria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qFormat/>
    <w:locked/>
    <w:rsid w:val="00FD5F32"/>
    <w:rPr>
      <w:rFonts w:ascii="Arial" w:hAnsi="Arial" w:cs="Arial"/>
      <w:b/>
      <w:bCs/>
      <w:kern w:val="2"/>
      <w:sz w:val="20"/>
      <w:szCs w:val="20"/>
      <w:lang w:val="hu-HU" w:eastAsia="hu-HU"/>
    </w:rPr>
  </w:style>
  <w:style w:type="character" w:customStyle="1" w:styleId="Cmsor2Char">
    <w:name w:val="Címsor 2 Char"/>
    <w:link w:val="Cmsor2"/>
    <w:qFormat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qFormat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qFormat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qFormat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qFormat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qFormat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qFormat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qFormat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Char">
    <w:name w:val="Cím Char"/>
    <w:link w:val="Cm"/>
    <w:qFormat/>
    <w:locked/>
    <w:rsid w:val="00FF30CF"/>
    <w:rPr>
      <w:rFonts w:ascii="Cambria" w:eastAsia="PMingLiU" w:hAnsi="Cambria" w:cs="Cambria"/>
      <w:b/>
      <w:bCs/>
      <w:color w:val="0070C0"/>
      <w:kern w:val="2"/>
      <w:sz w:val="32"/>
      <w:szCs w:val="32"/>
      <w:lang w:val="hu-HU" w:eastAsia="zh-TW"/>
    </w:rPr>
  </w:style>
  <w:style w:type="character" w:customStyle="1" w:styleId="Internet-hivatkozs">
    <w:name w:val="Internet-hivatkozás"/>
    <w:rsid w:val="006872AB"/>
    <w:rPr>
      <w:rFonts w:cs="Times New Roman"/>
      <w:color w:val="0000FF"/>
      <w:u w:val="single"/>
    </w:rPr>
  </w:style>
  <w:style w:type="character" w:customStyle="1" w:styleId="BuborkszvegChar">
    <w:name w:val="Buborékszöveg Char"/>
    <w:link w:val="Buborkszveg"/>
    <w:semiHidden/>
    <w:qFormat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qFormat/>
    <w:rsid w:val="00F87FD4"/>
    <w:rPr>
      <w:rFonts w:cs="Times New Roman"/>
      <w:sz w:val="16"/>
      <w:szCs w:val="16"/>
    </w:rPr>
  </w:style>
  <w:style w:type="character" w:customStyle="1" w:styleId="JegyzetszvegChar">
    <w:name w:val="Jegyzetszöveg Char"/>
    <w:link w:val="Jegyzetszveg"/>
    <w:semiHidden/>
    <w:qFormat/>
    <w:locked/>
    <w:rsid w:val="00F87FD4"/>
    <w:rPr>
      <w:rFonts w:ascii="Calibri" w:hAnsi="Calibri" w:cs="Calibri"/>
      <w:sz w:val="20"/>
      <w:szCs w:val="20"/>
      <w:lang w:val="hu-HU" w:eastAsia="x-none"/>
    </w:rPr>
  </w:style>
  <w:style w:type="character" w:customStyle="1" w:styleId="MegjegyzstrgyaChar">
    <w:name w:val="Megjegyzés tárgya Char"/>
    <w:link w:val="Megjegyzstrgya"/>
    <w:semiHidden/>
    <w:qFormat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customStyle="1" w:styleId="Megltogatottinternet-hivatkozs">
    <w:name w:val="Meglátogatott internet-hivatkozás"/>
    <w:semiHidden/>
    <w:rsid w:val="00322C25"/>
    <w:rPr>
      <w:rFonts w:cs="Times New Roman"/>
      <w:color w:val="8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qFormat/>
    <w:rsid w:val="00FD5F32"/>
    <w:pPr>
      <w:ind w:left="720"/>
      <w:contextualSpacing/>
    </w:pPr>
  </w:style>
  <w:style w:type="paragraph" w:customStyle="1" w:styleId="Nv">
    <w:name w:val="Név"/>
    <w:basedOn w:val="Norml"/>
    <w:qFormat/>
    <w:rsid w:val="00FD5F32"/>
    <w:pPr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"/>
      <w:sz w:val="32"/>
      <w:szCs w:val="32"/>
      <w:lang w:eastAsia="zh-TW"/>
    </w:rPr>
  </w:style>
  <w:style w:type="paragraph" w:styleId="Buborkszveg">
    <w:name w:val="Balloon Text"/>
    <w:basedOn w:val="Norml"/>
    <w:link w:val="BuborkszvegChar"/>
    <w:semiHidden/>
    <w:qFormat/>
    <w:rsid w:val="00F87FD4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semiHidden/>
    <w:qFormat/>
    <w:rsid w:val="00F87F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qFormat/>
    <w:rsid w:val="00F87FD4"/>
    <w:rPr>
      <w:b/>
      <w:bCs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locked/>
    <w:rsid w:val="00925745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25745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flux.com/journal/45/60103/english-and-all-that/" TargetMode="External"/><Relationship Id="rId13" Type="http://schemas.openxmlformats.org/officeDocument/2006/relationships/hyperlink" Target="http://www.cpanda.org/data/a00052/Visual%20Art%20Critic%20Report.pdf" TargetMode="External"/><Relationship Id="rId18" Type="http://schemas.openxmlformats.org/officeDocument/2006/relationships/hyperlink" Target="https://www.frieze.com/article/please-release-m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klatangbayan.files.wordpress.com/2013/06/state_of_art_criticism.pdf" TargetMode="External"/><Relationship Id="rId7" Type="http://schemas.openxmlformats.org/officeDocument/2006/relationships/hyperlink" Target="https://www.canopycanopycanopy.com/contents/international_art_english" TargetMode="External"/><Relationship Id="rId12" Type="http://schemas.openxmlformats.org/officeDocument/2006/relationships/hyperlink" Target="https://monoskop.org/images/1/1e/Elkins_James_What_Happened_to_Art_Criticism_2003.pdf" TargetMode="External"/><Relationship Id="rId17" Type="http://schemas.openxmlformats.org/officeDocument/2006/relationships/hyperlink" Target="https://www.frieze.com/article/who-do-you-think-youre-talk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rieze.com/article/11-statements-around-art-writing" TargetMode="External"/><Relationship Id="rId20" Type="http://schemas.openxmlformats.org/officeDocument/2006/relationships/hyperlink" Target="https://archive.ica.art/bulletin/notes-art-criticism-practi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tricktayler@gmail.com" TargetMode="External"/><Relationship Id="rId11" Type="http://schemas.openxmlformats.org/officeDocument/2006/relationships/hyperlink" Target="https://hyperallergic.com/66348/when-artspeak-masks-oppression/" TargetMode="External"/><Relationship Id="rId24" Type="http://schemas.openxmlformats.org/officeDocument/2006/relationships/hyperlink" Target="mailto:patricktayl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ieze.com/article/altercritics" TargetMode="External"/><Relationship Id="rId23" Type="http://schemas.openxmlformats.org/officeDocument/2006/relationships/hyperlink" Target="https://arielfeminisms.dk/ygrg" TargetMode="External"/><Relationship Id="rId10" Type="http://schemas.openxmlformats.org/officeDocument/2006/relationships/hyperlink" Target="https://hyperallergic.com/60675/how-not-to-write-like-an-art-critic/" TargetMode="External"/><Relationship Id="rId19" Type="http://schemas.openxmlformats.org/officeDocument/2006/relationships/hyperlink" Target="https://www.theguardian.com/artanddesign/jonathanjonesblog/2009/apr/24/art-critic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flux.com/journal/45/60100/international-disco-latin/" TargetMode="External"/><Relationship Id="rId14" Type="http://schemas.openxmlformats.org/officeDocument/2006/relationships/hyperlink" Target="http://oritgat.com/Art-Criticism-in-the-Age-of-Yelp" TargetMode="External"/><Relationship Id="rId22" Type="http://schemas.openxmlformats.org/officeDocument/2006/relationships/hyperlink" Target="https://60wrdmin.org/hom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AEFC-AE0F-408B-B6E9-AA585A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7427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>MOME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dc:description/>
  <cp:lastModifiedBy>Péter Juhász</cp:lastModifiedBy>
  <cp:revision>3</cp:revision>
  <cp:lastPrinted>2019-12-16T13:57:00Z</cp:lastPrinted>
  <dcterms:created xsi:type="dcterms:W3CDTF">2023-08-24T07:02:00Z</dcterms:created>
  <dcterms:modified xsi:type="dcterms:W3CDTF">2023-08-24T12:32:00Z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