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48B7" w14:textId="77777777" w:rsidR="006C1A90" w:rsidRDefault="00D635F6">
      <w:pPr>
        <w:pStyle w:val="Cmsor2"/>
        <w:spacing w:line="360" w:lineRule="auto"/>
        <w:rPr>
          <w:rFonts w:ascii="Calibri" w:eastAsia="Calibri" w:hAnsi="Calibri" w:cs="Calibri"/>
          <w:i w:val="0"/>
          <w:iCs w:val="0"/>
          <w:sz w:val="22"/>
          <w:szCs w:val="22"/>
        </w:rPr>
      </w:pPr>
      <w:r>
        <w:rPr>
          <w:rFonts w:ascii="Calibri" w:hAnsi="Calibri"/>
          <w:i w:val="0"/>
          <w:iCs w:val="0"/>
          <w:sz w:val="22"/>
          <w:szCs w:val="22"/>
        </w:rPr>
        <w:t>Syllabus</w:t>
      </w:r>
    </w:p>
    <w:tbl>
      <w:tblPr>
        <w:tblStyle w:val="TableNormal"/>
        <w:tblW w:w="95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787"/>
        <w:gridCol w:w="2126"/>
        <w:gridCol w:w="1772"/>
        <w:gridCol w:w="921"/>
        <w:gridCol w:w="2904"/>
      </w:tblGrid>
      <w:tr w:rsidR="006C1A90" w14:paraId="6DF581A1" w14:textId="77777777">
        <w:tblPrEx>
          <w:tblCellMar>
            <w:top w:w="0" w:type="dxa"/>
            <w:left w:w="0" w:type="dxa"/>
            <w:bottom w:w="0" w:type="dxa"/>
            <w:right w:w="0" w:type="dxa"/>
          </w:tblCellMar>
        </w:tblPrEx>
        <w:trPr>
          <w:trHeight w:val="407"/>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AE8A1F" w14:textId="37660D53" w:rsidR="006C1A90" w:rsidRDefault="00D635F6">
            <w:pPr>
              <w:spacing w:after="0" w:line="360" w:lineRule="auto"/>
            </w:pPr>
            <w:r>
              <w:rPr>
                <w:b/>
                <w:bCs/>
              </w:rPr>
              <w:t>Course title:</w:t>
            </w:r>
            <w:r>
              <w:rPr>
                <w:b/>
                <w:bCs/>
                <w:lang w:val="da-DK"/>
              </w:rPr>
              <w:t xml:space="preserve"> </w:t>
            </w:r>
            <w:r w:rsidRPr="00D635F6">
              <w:rPr>
                <w:b/>
                <w:bCs/>
                <w:lang w:val="da-DK"/>
              </w:rPr>
              <w:t>Theory-based project development B</w:t>
            </w:r>
            <w:r>
              <w:rPr>
                <w:b/>
                <w:bCs/>
                <w:lang w:val="da-DK"/>
              </w:rPr>
              <w:t xml:space="preserve"> / </w:t>
            </w:r>
            <w:r>
              <w:rPr>
                <w:b/>
                <w:bCs/>
                <w:lang w:val="da-DK"/>
              </w:rPr>
              <w:t>Future Sustainable Societies</w:t>
            </w:r>
          </w:p>
        </w:tc>
      </w:tr>
      <w:tr w:rsidR="006C1A90" w14:paraId="4C80825C" w14:textId="77777777">
        <w:tblPrEx>
          <w:tblCellMar>
            <w:top w:w="0" w:type="dxa"/>
            <w:left w:w="0" w:type="dxa"/>
            <w:bottom w:w="0" w:type="dxa"/>
            <w:right w:w="0" w:type="dxa"/>
          </w:tblCellMar>
        </w:tblPrEx>
        <w:trPr>
          <w:trHeight w:val="407"/>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7AEA6E" w14:textId="77777777" w:rsidR="006C1A90" w:rsidRDefault="00D635F6">
            <w:pPr>
              <w:spacing w:after="0" w:line="360" w:lineRule="auto"/>
            </w:pPr>
            <w:r>
              <w:rPr>
                <w:b/>
                <w:bCs/>
              </w:rPr>
              <w:t>Course instructor(s), contact details:</w:t>
            </w:r>
            <w:r>
              <w:rPr>
                <w:b/>
                <w:bCs/>
                <w:lang w:val="da-DK"/>
              </w:rPr>
              <w:t xml:space="preserve"> Dr. Karina Vissonova, </w:t>
            </w:r>
            <w:r>
              <w:rPr>
                <w:rStyle w:val="Hyperlink0"/>
              </w:rPr>
              <w:fldChar w:fldCharType="begin"/>
            </w:r>
            <w:r>
              <w:rPr>
                <w:rStyle w:val="Hyperlink0"/>
                <w:b/>
                <w:bCs/>
              </w:rPr>
              <w:instrText xml:space="preserve"> HYPERLINK "mailto:vissonova@icloud.com"</w:instrText>
            </w:r>
            <w:r>
              <w:rPr>
                <w:rStyle w:val="Hyperlink0"/>
              </w:rPr>
            </w:r>
            <w:r>
              <w:rPr>
                <w:rStyle w:val="Hyperlink0"/>
              </w:rPr>
              <w:fldChar w:fldCharType="separate"/>
            </w:r>
            <w:r>
              <w:rPr>
                <w:rStyle w:val="Hyperlink0"/>
                <w:b/>
                <w:bCs/>
                <w:lang w:val="da-DK"/>
              </w:rPr>
              <w:t>vissonova@icloud.com</w:t>
            </w:r>
            <w:r>
              <w:rPr>
                <w:b/>
                <w:bCs/>
              </w:rPr>
              <w:fldChar w:fldCharType="end"/>
            </w:r>
            <w:r>
              <w:rPr>
                <w:b/>
                <w:bCs/>
                <w:lang w:val="da-DK"/>
              </w:rPr>
              <w:t xml:space="preserve"> +36309103312</w:t>
            </w:r>
          </w:p>
        </w:tc>
      </w:tr>
      <w:tr w:rsidR="006C1A90" w14:paraId="0A2DBF71" w14:textId="77777777">
        <w:tblPrEx>
          <w:tblCellMar>
            <w:top w:w="0" w:type="dxa"/>
            <w:left w:w="0" w:type="dxa"/>
            <w:bottom w:w="0" w:type="dxa"/>
            <w:right w:w="0" w:type="dxa"/>
          </w:tblCellMar>
        </w:tblPrEx>
        <w:trPr>
          <w:trHeight w:val="665"/>
        </w:trPr>
        <w:tc>
          <w:tcPr>
            <w:tcW w:w="178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5BBC895A" w14:textId="77777777" w:rsidR="006C1A90" w:rsidRDefault="00D635F6">
            <w:pPr>
              <w:spacing w:after="0" w:line="360" w:lineRule="auto"/>
            </w:pPr>
            <w:r>
              <w:rPr>
                <w:b/>
                <w:bCs/>
              </w:rPr>
              <w:t>Code</w:t>
            </w:r>
            <w:r>
              <w:t>:</w:t>
            </w:r>
          </w:p>
          <w:p w14:paraId="7915DBC2" w14:textId="03F163D3" w:rsidR="00D635F6" w:rsidRDefault="00D635F6">
            <w:pPr>
              <w:spacing w:after="0" w:line="360" w:lineRule="auto"/>
            </w:pPr>
            <w:r w:rsidRPr="00D635F6">
              <w:t>M-AE-E-102-B</w:t>
            </w:r>
          </w:p>
        </w:tc>
        <w:tc>
          <w:tcPr>
            <w:tcW w:w="2126"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569CA799" w14:textId="059A003D" w:rsidR="006C1A90" w:rsidRDefault="00D635F6">
            <w:pPr>
              <w:spacing w:after="0" w:line="360" w:lineRule="auto"/>
            </w:pPr>
            <w:r>
              <w:rPr>
                <w:b/>
                <w:bCs/>
              </w:rPr>
              <w:t>Curriculum</w:t>
            </w:r>
            <w:r>
              <w:t xml:space="preserve"> (program/level): ESMA</w:t>
            </w:r>
          </w:p>
        </w:tc>
        <w:tc>
          <w:tcPr>
            <w:tcW w:w="177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52D677D1" w14:textId="167F24EB" w:rsidR="006C1A90" w:rsidRDefault="00D635F6">
            <w:pPr>
              <w:spacing w:after="0" w:line="360" w:lineRule="auto"/>
            </w:pPr>
            <w:r>
              <w:rPr>
                <w:b/>
                <w:bCs/>
              </w:rPr>
              <w:t>Recommended semester</w:t>
            </w:r>
            <w:r>
              <w:t>: 2-3</w:t>
            </w:r>
          </w:p>
        </w:tc>
        <w:tc>
          <w:tcPr>
            <w:tcW w:w="921"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7C9BB249" w14:textId="77777777" w:rsidR="006C1A90" w:rsidRDefault="00D635F6">
            <w:pPr>
              <w:spacing w:after="0" w:line="360" w:lineRule="auto"/>
              <w:rPr>
                <w:b/>
                <w:bCs/>
              </w:rPr>
            </w:pPr>
            <w:r>
              <w:rPr>
                <w:b/>
                <w:bCs/>
              </w:rPr>
              <w:t>Credit:</w:t>
            </w:r>
          </w:p>
          <w:p w14:paraId="08BF6199" w14:textId="7C13879D" w:rsidR="00D635F6" w:rsidRDefault="00D635F6">
            <w:pPr>
              <w:spacing w:after="0" w:line="360" w:lineRule="auto"/>
            </w:pPr>
            <w:r>
              <w:rPr>
                <w:b/>
                <w:bCs/>
              </w:rPr>
              <w:t>5</w:t>
            </w:r>
          </w:p>
        </w:tc>
        <w:tc>
          <w:tcPr>
            <w:tcW w:w="2904"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310FE7CD" w14:textId="7CE9C560" w:rsidR="006C1A90" w:rsidRDefault="00D635F6">
            <w:pPr>
              <w:spacing w:after="0" w:line="360" w:lineRule="auto"/>
              <w:rPr>
                <w:b/>
                <w:bCs/>
              </w:rPr>
            </w:pPr>
            <w:r>
              <w:rPr>
                <w:b/>
                <w:bCs/>
              </w:rPr>
              <w:t>Number of class hours: 36</w:t>
            </w:r>
          </w:p>
          <w:p w14:paraId="4A3C664F" w14:textId="0A730366" w:rsidR="006C1A90" w:rsidRDefault="00D635F6">
            <w:pPr>
              <w:spacing w:after="0" w:line="360" w:lineRule="auto"/>
            </w:pPr>
            <w:r>
              <w:rPr>
                <w:b/>
                <w:bCs/>
              </w:rPr>
              <w:t>Student task hours: 114</w:t>
            </w:r>
          </w:p>
        </w:tc>
      </w:tr>
      <w:tr w:rsidR="006C1A90" w14:paraId="5239D5B7" w14:textId="77777777" w:rsidTr="00D635F6">
        <w:tblPrEx>
          <w:tblCellMar>
            <w:top w:w="0" w:type="dxa"/>
            <w:left w:w="0" w:type="dxa"/>
            <w:bottom w:w="0" w:type="dxa"/>
            <w:right w:w="0" w:type="dxa"/>
          </w:tblCellMar>
        </w:tblPrEx>
        <w:trPr>
          <w:trHeight w:val="910"/>
        </w:trPr>
        <w:tc>
          <w:tcPr>
            <w:tcW w:w="178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18160441" w14:textId="77777777" w:rsidR="006C1A90" w:rsidRDefault="00D635F6">
            <w:pPr>
              <w:spacing w:after="0" w:line="360" w:lineRule="auto"/>
            </w:pPr>
            <w:r>
              <w:rPr>
                <w:b/>
                <w:bCs/>
              </w:rPr>
              <w:t>Related codes</w:t>
            </w:r>
            <w:r>
              <w:t>:</w:t>
            </w:r>
          </w:p>
        </w:tc>
        <w:tc>
          <w:tcPr>
            <w:tcW w:w="2126"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1FADFFEA" w14:textId="73CE15E1" w:rsidR="006C1A90" w:rsidRPr="00D635F6" w:rsidRDefault="00D635F6">
            <w:pPr>
              <w:spacing w:after="0" w:line="360" w:lineRule="auto"/>
              <w:rPr>
                <w:lang w:val="fr-FR"/>
              </w:rPr>
            </w:pPr>
            <w:r w:rsidRPr="00D635F6">
              <w:rPr>
                <w:b/>
                <w:bCs/>
                <w:lang w:val="fr-FR"/>
              </w:rPr>
              <w:t>Type</w:t>
            </w:r>
            <w:r w:rsidRPr="00D635F6">
              <w:rPr>
                <w:lang w:val="fr-FR"/>
              </w:rPr>
              <w:t xml:space="preserve">: </w:t>
            </w:r>
            <w:r w:rsidRPr="00D635F6">
              <w:rPr>
                <w:lang w:val="fr-FR"/>
              </w:rPr>
              <w:t>seminar/lecture</w:t>
            </w:r>
          </w:p>
        </w:tc>
        <w:tc>
          <w:tcPr>
            <w:tcW w:w="177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2821619C" w14:textId="77777777" w:rsidR="006C1A90" w:rsidRDefault="00D635F6">
            <w:pPr>
              <w:spacing w:after="0" w:line="360" w:lineRule="auto"/>
              <w:rPr>
                <w:b/>
                <w:bCs/>
              </w:rPr>
            </w:pPr>
            <w:r>
              <w:rPr>
                <w:b/>
                <w:bCs/>
              </w:rPr>
              <w:t>Can it be an elective course?</w:t>
            </w:r>
          </w:p>
          <w:p w14:paraId="713F86BA" w14:textId="264136E4" w:rsidR="00D635F6" w:rsidRDefault="00D635F6">
            <w:pPr>
              <w:spacing w:after="0" w:line="360" w:lineRule="auto"/>
            </w:pPr>
            <w:r>
              <w:rPr>
                <w:b/>
                <w:bCs/>
              </w:rPr>
              <w:t>No.</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2D207BCB" w14:textId="77777777" w:rsidR="006C1A90" w:rsidRDefault="00D635F6">
            <w:pPr>
              <w:spacing w:after="0" w:line="360" w:lineRule="auto"/>
            </w:pPr>
            <w:r>
              <w:rPr>
                <w:b/>
                <w:bCs/>
              </w:rPr>
              <w:t xml:space="preserve">In </w:t>
            </w:r>
            <w:r>
              <w:rPr>
                <w:b/>
                <w:bCs/>
              </w:rPr>
              <w:t>case of an elective course what are the specific prerequisites:</w:t>
            </w:r>
          </w:p>
        </w:tc>
      </w:tr>
      <w:tr w:rsidR="006C1A90" w14:paraId="1F7FE9B2" w14:textId="77777777">
        <w:tblPrEx>
          <w:tblCellMar>
            <w:top w:w="0" w:type="dxa"/>
            <w:left w:w="0" w:type="dxa"/>
            <w:bottom w:w="0" w:type="dxa"/>
            <w:right w:w="0" w:type="dxa"/>
          </w:tblCellMar>
        </w:tblPrEx>
        <w:trPr>
          <w:trHeight w:val="665"/>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0FC8A573" w14:textId="77777777" w:rsidR="006C1A90" w:rsidRDefault="00D635F6">
            <w:pPr>
              <w:spacing w:after="0" w:line="360" w:lineRule="auto"/>
            </w:pPr>
            <w:r>
              <w:rPr>
                <w:b/>
                <w:bCs/>
              </w:rPr>
              <w:t>Course connections (prerequisites, parallels):</w:t>
            </w:r>
          </w:p>
        </w:tc>
      </w:tr>
      <w:tr w:rsidR="006C1A90" w14:paraId="655B2D38" w14:textId="77777777">
        <w:tblPrEx>
          <w:tblCellMar>
            <w:top w:w="0" w:type="dxa"/>
            <w:left w:w="0" w:type="dxa"/>
            <w:bottom w:w="0" w:type="dxa"/>
            <w:right w:w="0" w:type="dxa"/>
          </w:tblCellMar>
        </w:tblPrEx>
        <w:trPr>
          <w:trHeight w:val="11253"/>
        </w:trPr>
        <w:tc>
          <w:tcPr>
            <w:tcW w:w="9510" w:type="dxa"/>
            <w:gridSpan w:val="5"/>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09351EFE"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b/>
                <w:bCs/>
                <w:i/>
                <w:iCs/>
                <w:color w:val="1A1A1A"/>
                <w:u w:val="single"/>
              </w:rPr>
              <w:lastRenderedPageBreak/>
              <w:t>A</w:t>
            </w:r>
            <w:r>
              <w:rPr>
                <w:rFonts w:ascii="Times Roman" w:hAnsi="Times Roman"/>
                <w:b/>
                <w:bCs/>
                <w:i/>
                <w:iCs/>
                <w:color w:val="1A1A1A"/>
                <w:u w:val="single"/>
              </w:rPr>
              <w:t>ims and principles of the course:</w:t>
            </w:r>
          </w:p>
          <w:p w14:paraId="55F2BB22"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b/>
                <w:bCs/>
                <w:color w:val="1A1A1A"/>
              </w:rPr>
              <w:t xml:space="preserve">The aim of the course is to facilitate the students' learning in transition from sustainable product </w:t>
            </w:r>
            <w:r>
              <w:rPr>
                <w:rFonts w:ascii="Times Roman" w:hAnsi="Times Roman"/>
                <w:b/>
                <w:bCs/>
                <w:color w:val="1A1A1A"/>
              </w:rPr>
              <w:t>design to sustainable life design.</w:t>
            </w:r>
          </w:p>
          <w:p w14:paraId="5C01DE6B"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color w:val="1A1A1A"/>
              </w:rPr>
              <w:t xml:space="preserve">In this course, we will look at the multiple projections of sustainability in future societies and explore ways of designing lifestyles appropriated to new and emerging economic and environmental capacities. The focus will be on new and alternative ways of </w:t>
            </w:r>
            <w:r>
              <w:rPr>
                <w:rFonts w:ascii="Times Roman" w:hAnsi="Times Roman"/>
                <w:i/>
                <w:iCs/>
                <w:color w:val="1A1A1A"/>
              </w:rPr>
              <w:t xml:space="preserve">designing for wellbeing. </w:t>
            </w:r>
            <w:r>
              <w:rPr>
                <w:rFonts w:ascii="Times Roman" w:hAnsi="Times Roman"/>
                <w:color w:val="1A1A1A"/>
              </w:rPr>
              <w:t xml:space="preserve">We </w:t>
            </w:r>
            <w:proofErr w:type="spellStart"/>
            <w:r>
              <w:rPr>
                <w:rFonts w:ascii="Times Roman" w:hAnsi="Times Roman"/>
                <w:color w:val="1A1A1A"/>
              </w:rPr>
              <w:t>analyse</w:t>
            </w:r>
            <w:proofErr w:type="spellEnd"/>
            <w:r>
              <w:rPr>
                <w:rFonts w:ascii="Times Roman" w:hAnsi="Times Roman"/>
                <w:color w:val="1A1A1A"/>
              </w:rPr>
              <w:t xml:space="preserve"> theories and practices that have shaped the contemporary societies and learn the basics of sustainability and sustainable design theories. Based on these lessons, we will look at new and alternative approaches in design. We will envision </w:t>
            </w:r>
            <w:r>
              <w:rPr>
                <w:rFonts w:ascii="Times Roman" w:hAnsi="Times Roman"/>
                <w:color w:val="1A1A1A"/>
                <w:lang w:val="da-DK"/>
              </w:rPr>
              <w:t>transitioning</w:t>
            </w:r>
            <w:r>
              <w:rPr>
                <w:rFonts w:ascii="Times Roman" w:hAnsi="Times Roman"/>
                <w:color w:val="1A1A1A"/>
              </w:rPr>
              <w:t xml:space="preserve"> from consumerism to new economies and social setups through design. And as a group, we will work towards new ways of conceiving design relevant in future sustainable societies.</w:t>
            </w:r>
          </w:p>
          <w:p w14:paraId="4EBE8B42" w14:textId="77777777" w:rsidR="006C1A90" w:rsidRDefault="00D635F6">
            <w:pPr>
              <w:pStyle w:val="Default"/>
              <w:spacing w:before="0" w:after="240" w:line="240" w:lineRule="auto"/>
              <w:rPr>
                <w:rFonts w:ascii="Times Roman" w:eastAsia="Times Roman" w:hAnsi="Times Roman" w:cs="Times Roman"/>
                <w:b/>
                <w:bCs/>
              </w:rPr>
            </w:pPr>
            <w:r>
              <w:rPr>
                <w:rFonts w:ascii="Times Roman" w:hAnsi="Times Roman"/>
                <w:b/>
                <w:bCs/>
              </w:rPr>
              <w:t>Principles of the course:</w:t>
            </w:r>
          </w:p>
          <w:p w14:paraId="7EF13B63"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color w:val="1A1A1A"/>
              </w:rPr>
              <w:t xml:space="preserve">1. Motivate to engage in understanding the different notions of sustainability from social, </w:t>
            </w:r>
            <w:proofErr w:type="gramStart"/>
            <w:r>
              <w:rPr>
                <w:rFonts w:ascii="Times Roman" w:hAnsi="Times Roman"/>
                <w:color w:val="1A1A1A"/>
              </w:rPr>
              <w:t>technological</w:t>
            </w:r>
            <w:proofErr w:type="gramEnd"/>
            <w:r>
              <w:rPr>
                <w:rFonts w:ascii="Times Roman" w:hAnsi="Times Roman"/>
                <w:color w:val="1A1A1A"/>
              </w:rPr>
              <w:t xml:space="preserve"> and philosophical (ethical and values) perspectives.</w:t>
            </w:r>
          </w:p>
          <w:p w14:paraId="0780520F"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color w:val="1A1A1A"/>
              </w:rPr>
              <w:t>2. Train to hold moderated discussions and present complex topics rooted in values.</w:t>
            </w:r>
          </w:p>
          <w:p w14:paraId="60D8BE1F"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color w:val="1A1A1A"/>
              </w:rPr>
              <w:t>3. Facilitate learnings based in design theory and how to apply theory in practice.</w:t>
            </w:r>
          </w:p>
          <w:p w14:paraId="76029FB3"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color w:val="1A1A1A"/>
              </w:rPr>
              <w:t>4. Prepare in thinking in future oriented design and in philosophy of design.</w:t>
            </w:r>
          </w:p>
          <w:p w14:paraId="5DB57A34"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b/>
                <w:bCs/>
              </w:rPr>
              <w:t>Learning outcomes (professional and general competences to be developed):</w:t>
            </w:r>
          </w:p>
          <w:p w14:paraId="161E178D"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rPr>
              <w:t>Upon completion of this course, students should be able to:</w:t>
            </w:r>
          </w:p>
          <w:p w14:paraId="1B7A3CF7"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rPr>
              <w:t xml:space="preserve">1. Explore alternative approaches to design: Students will develop the ability to explore and apply alternative approaches to design </w:t>
            </w:r>
            <w:proofErr w:type="spellStart"/>
            <w:r>
              <w:rPr>
                <w:rFonts w:ascii="Times Roman" w:hAnsi="Times Roman"/>
              </w:rPr>
              <w:t>prioritising</w:t>
            </w:r>
            <w:proofErr w:type="spellEnd"/>
            <w:r>
              <w:rPr>
                <w:rFonts w:ascii="Times Roman" w:hAnsi="Times Roman"/>
              </w:rPr>
              <w:t xml:space="preserve"> social values and wellbeing, preparing them for working in transitioning societies.</w:t>
            </w:r>
          </w:p>
          <w:p w14:paraId="3B8180CF"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rPr>
              <w:t>2. Become future conscious: Students will obtain ability to think in futures as part of their creative process; and cultivate a future-oriented mindset capable of envisioning and designing for equitable future societies.</w:t>
            </w:r>
          </w:p>
          <w:p w14:paraId="72375E10"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rPr>
              <w:t>3. Become facilitators: Students will become adept at holding moderated discussions and debates on design subjects rooted in ethics, values, and the promotion of social good.</w:t>
            </w:r>
          </w:p>
          <w:p w14:paraId="512075FC" w14:textId="77777777" w:rsidR="006C1A90" w:rsidRDefault="00D635F6">
            <w:pPr>
              <w:pStyle w:val="Default"/>
              <w:spacing w:before="0" w:after="240" w:line="240" w:lineRule="auto"/>
            </w:pPr>
            <w:r>
              <w:rPr>
                <w:rFonts w:ascii="Times Roman" w:hAnsi="Times Roman"/>
              </w:rPr>
              <w:t>4. Work in post-disciplinary environments:</w:t>
            </w:r>
            <w:r>
              <w:rPr>
                <w:rFonts w:ascii="Times Roman" w:hAnsi="Times Roman"/>
                <w:lang w:val="da-DK"/>
              </w:rPr>
              <w:t xml:space="preserve"> </w:t>
            </w:r>
            <w:r>
              <w:rPr>
                <w:rFonts w:ascii="Times Roman" w:hAnsi="Times Roman"/>
              </w:rPr>
              <w:t>Students will be prepared for tackling multifaceted social problems and opportunities.</w:t>
            </w:r>
          </w:p>
        </w:tc>
      </w:tr>
      <w:tr w:rsidR="006C1A90" w14:paraId="6A94C68D" w14:textId="77777777">
        <w:tblPrEx>
          <w:tblCellMar>
            <w:top w:w="0" w:type="dxa"/>
            <w:left w:w="0" w:type="dxa"/>
            <w:bottom w:w="0" w:type="dxa"/>
            <w:right w:w="0" w:type="dxa"/>
          </w:tblCellMar>
        </w:tblPrEx>
        <w:trPr>
          <w:trHeight w:val="12350"/>
        </w:trPr>
        <w:tc>
          <w:tcPr>
            <w:tcW w:w="9510" w:type="dxa"/>
            <w:gridSpan w:val="5"/>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5E2B407" w14:textId="77777777" w:rsidR="006C1A90" w:rsidRDefault="00D635F6">
            <w:pPr>
              <w:spacing w:after="0" w:line="360" w:lineRule="auto"/>
              <w:rPr>
                <w:b/>
                <w:bCs/>
              </w:rPr>
            </w:pPr>
            <w:r>
              <w:rPr>
                <w:b/>
                <w:bCs/>
              </w:rPr>
              <w:lastRenderedPageBreak/>
              <w:t xml:space="preserve">Topics and themes to be covered in the course: </w:t>
            </w:r>
          </w:p>
          <w:p w14:paraId="152165F5" w14:textId="77777777" w:rsidR="006C1A90" w:rsidRDefault="006C1A90">
            <w:pPr>
              <w:spacing w:after="0" w:line="360" w:lineRule="auto"/>
              <w:rPr>
                <w:b/>
                <w:bCs/>
              </w:rPr>
            </w:pPr>
          </w:p>
          <w:p w14:paraId="3D5133C2"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b/>
                <w:bCs/>
              </w:rPr>
              <w:t>Contemporary sustainable design and its critiques</w:t>
            </w:r>
            <w:r>
              <w:rPr>
                <w:rFonts w:ascii="Times Roman" w:hAnsi="Times Roman"/>
                <w:b/>
                <w:bCs/>
                <w:lang w:val="da-DK"/>
              </w:rPr>
              <w:t>:</w:t>
            </w:r>
            <w:r w:rsidRPr="00D635F6">
              <w:rPr>
                <w:rFonts w:ascii="Times Roman" w:hAnsi="Times Roman"/>
                <w:b/>
                <w:bCs/>
                <w:lang w:val="en-GB"/>
              </w:rPr>
              <w:t xml:space="preserve"> sessions </w:t>
            </w:r>
            <w:r>
              <w:rPr>
                <w:rFonts w:ascii="Times Roman" w:hAnsi="Times Roman"/>
                <w:b/>
                <w:bCs/>
                <w:lang w:val="da-DK"/>
              </w:rPr>
              <w:t>w</w:t>
            </w:r>
            <w:r>
              <w:rPr>
                <w:rFonts w:ascii="Times Roman" w:hAnsi="Times Roman"/>
                <w:b/>
                <w:bCs/>
              </w:rPr>
              <w:t>eeks 1-3</w:t>
            </w:r>
          </w:p>
          <w:p w14:paraId="6F3B6574"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u w:val="single"/>
                <w:lang w:val="nl-NL"/>
              </w:rPr>
              <w:t>Week 1A:</w:t>
            </w:r>
            <w:r>
              <w:rPr>
                <w:rFonts w:ascii="Times Roman" w:hAnsi="Times Roman"/>
              </w:rPr>
              <w:t xml:space="preserve"> introduction to the course, what and how will learn, methods, assessment and exam;</w:t>
            </w:r>
            <w:r>
              <w:rPr>
                <w:rFonts w:ascii="Times Roman" w:hAnsi="Times Roman"/>
                <w:lang w:val="da-DK"/>
              </w:rPr>
              <w:t>/ T</w:t>
            </w:r>
            <w:r>
              <w:rPr>
                <w:rFonts w:ascii="Times Roman" w:hAnsi="Times Roman"/>
              </w:rPr>
              <w:t>he Futures Wheel of Sustainability workshop.</w:t>
            </w:r>
          </w:p>
          <w:p w14:paraId="54AFF406"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u w:val="single"/>
                <w:lang w:val="nl-NL"/>
              </w:rPr>
              <w:t>Week 2:</w:t>
            </w:r>
            <w:r>
              <w:rPr>
                <w:rFonts w:ascii="Times Roman" w:hAnsi="Times Roman"/>
              </w:rPr>
              <w:t xml:space="preserve"> Sustainability 0.1 and the 4 classes of Sustainable design lecture and discussions based on the assignment.</w:t>
            </w:r>
          </w:p>
          <w:p w14:paraId="7D315EC5"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u w:val="single"/>
                <w:lang w:val="nl-NL"/>
              </w:rPr>
              <w:t>Week 3:</w:t>
            </w:r>
            <w:r>
              <w:rPr>
                <w:rFonts w:ascii="Times Roman" w:hAnsi="Times Roman"/>
              </w:rPr>
              <w:t xml:space="preserve"> Contemporary sustainable product design lecture and discussions based on the assignment.</w:t>
            </w:r>
          </w:p>
          <w:p w14:paraId="6A0DAE8A" w14:textId="77777777" w:rsidR="006C1A90" w:rsidRDefault="00D635F6">
            <w:pPr>
              <w:pStyle w:val="Default"/>
              <w:spacing w:before="0" w:after="240" w:line="240" w:lineRule="auto"/>
              <w:rPr>
                <w:rFonts w:ascii="Times Roman" w:eastAsia="Times Roman" w:hAnsi="Times Roman" w:cs="Times Roman"/>
              </w:rPr>
            </w:pPr>
            <w:proofErr w:type="spellStart"/>
            <w:r w:rsidRPr="00D635F6">
              <w:rPr>
                <w:rFonts w:ascii="Times Roman" w:hAnsi="Times Roman"/>
                <w:b/>
                <w:bCs/>
                <w:lang w:val="en-GB"/>
              </w:rPr>
              <w:t>Transi</w:t>
            </w:r>
            <w:proofErr w:type="spellEnd"/>
            <w:r>
              <w:rPr>
                <w:rFonts w:ascii="Times Roman" w:hAnsi="Times Roman"/>
                <w:b/>
                <w:bCs/>
                <w:lang w:val="da-DK"/>
              </w:rPr>
              <w:t>ti</w:t>
            </w:r>
            <w:proofErr w:type="spellStart"/>
            <w:r>
              <w:rPr>
                <w:rFonts w:ascii="Times Roman" w:hAnsi="Times Roman"/>
                <w:b/>
                <w:bCs/>
              </w:rPr>
              <w:t>oning</w:t>
            </w:r>
            <w:proofErr w:type="spellEnd"/>
            <w:r>
              <w:rPr>
                <w:rFonts w:ascii="Times Roman" w:hAnsi="Times Roman"/>
                <w:b/>
                <w:bCs/>
              </w:rPr>
              <w:t xml:space="preserve"> societies</w:t>
            </w:r>
            <w:r>
              <w:rPr>
                <w:rFonts w:ascii="Times Roman" w:hAnsi="Times Roman"/>
                <w:b/>
                <w:bCs/>
                <w:lang w:val="da-DK"/>
              </w:rPr>
              <w:t>:</w:t>
            </w:r>
            <w:r w:rsidRPr="00D635F6">
              <w:rPr>
                <w:rFonts w:ascii="Times Roman" w:hAnsi="Times Roman"/>
                <w:b/>
                <w:bCs/>
                <w:lang w:val="en-GB"/>
              </w:rPr>
              <w:t xml:space="preserve"> sessions </w:t>
            </w:r>
            <w:r>
              <w:rPr>
                <w:rFonts w:ascii="Times Roman" w:hAnsi="Times Roman"/>
                <w:b/>
                <w:bCs/>
                <w:lang w:val="da-DK"/>
              </w:rPr>
              <w:t>w</w:t>
            </w:r>
            <w:r>
              <w:rPr>
                <w:rFonts w:ascii="Times Roman" w:hAnsi="Times Roman"/>
                <w:b/>
                <w:bCs/>
                <w:lang w:val="nl-NL"/>
              </w:rPr>
              <w:t>eek</w:t>
            </w:r>
            <w:r>
              <w:rPr>
                <w:rFonts w:ascii="Times Roman" w:hAnsi="Times Roman"/>
                <w:b/>
                <w:bCs/>
                <w:lang w:val="da-DK"/>
              </w:rPr>
              <w:t>s</w:t>
            </w:r>
            <w:r>
              <w:rPr>
                <w:rFonts w:ascii="Times Roman" w:hAnsi="Times Roman"/>
                <w:b/>
                <w:bCs/>
              </w:rPr>
              <w:t xml:space="preserve"> 4-6</w:t>
            </w:r>
          </w:p>
          <w:p w14:paraId="29EDD174"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u w:val="single"/>
                <w:lang w:val="nl-NL"/>
              </w:rPr>
              <w:t>Week 4:</w:t>
            </w:r>
            <w:r>
              <w:rPr>
                <w:rFonts w:ascii="Times Roman" w:hAnsi="Times Roman"/>
              </w:rPr>
              <w:t xml:space="preserve"> Consumer Capitalism lecture and discussions.</w:t>
            </w:r>
          </w:p>
          <w:p w14:paraId="23892982"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u w:val="single"/>
                <w:lang w:val="nl-NL"/>
              </w:rPr>
              <w:t>Week 5:</w:t>
            </w:r>
            <w:r>
              <w:rPr>
                <w:rFonts w:ascii="Times Roman" w:hAnsi="Times Roman"/>
              </w:rPr>
              <w:t xml:space="preserve"> Is design democratic? lecture and discussions.</w:t>
            </w:r>
          </w:p>
          <w:p w14:paraId="600A15F3"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u w:val="single"/>
                <w:lang w:val="nl-NL"/>
              </w:rPr>
              <w:t>Week 6:</w:t>
            </w:r>
            <w:r>
              <w:rPr>
                <w:rFonts w:ascii="Times Roman" w:hAnsi="Times Roman"/>
              </w:rPr>
              <w:t xml:space="preserve"> Context change and alternative design approaches lecture and discussions.</w:t>
            </w:r>
          </w:p>
          <w:p w14:paraId="7DF8EE2E"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b/>
                <w:bCs/>
              </w:rPr>
              <w:t>Design for Transitioning societies:</w:t>
            </w:r>
            <w:r>
              <w:rPr>
                <w:rFonts w:ascii="Times Roman" w:hAnsi="Times Roman"/>
                <w:b/>
                <w:bCs/>
                <w:lang w:val="da-DK"/>
              </w:rPr>
              <w:t xml:space="preserve"> sessions w</w:t>
            </w:r>
            <w:r>
              <w:rPr>
                <w:rFonts w:ascii="Times Roman" w:hAnsi="Times Roman"/>
                <w:b/>
                <w:bCs/>
                <w:lang w:val="nl-NL"/>
              </w:rPr>
              <w:t>eeks 7-9</w:t>
            </w:r>
            <w:r>
              <w:rPr>
                <w:rFonts w:ascii="Times Roman" w:hAnsi="Times Roman"/>
              </w:rPr>
              <w:t xml:space="preserve"> </w:t>
            </w:r>
          </w:p>
          <w:p w14:paraId="51D651EC"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u w:val="single"/>
                <w:lang w:val="nl-NL"/>
              </w:rPr>
              <w:t>Week 7:</w:t>
            </w:r>
            <w:r>
              <w:rPr>
                <w:rFonts w:ascii="Times Roman" w:hAnsi="Times Roman"/>
              </w:rPr>
              <w:t xml:space="preserve"> Communities, societies and future of designing. </w:t>
            </w:r>
          </w:p>
          <w:p w14:paraId="2611A447"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u w:val="single"/>
                <w:lang w:val="nl-NL"/>
              </w:rPr>
              <w:t>Week 8</w:t>
            </w:r>
            <w:r>
              <w:rPr>
                <w:rFonts w:ascii="Times Roman" w:hAnsi="Times Roman"/>
              </w:rPr>
              <w:t>: Transition Design lecture/ workshop</w:t>
            </w:r>
          </w:p>
          <w:p w14:paraId="0DD7ED98"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u w:val="single"/>
              </w:rPr>
              <w:t>Week 9:</w:t>
            </w:r>
            <w:r>
              <w:rPr>
                <w:rFonts w:ascii="Times Roman" w:hAnsi="Times Roman"/>
              </w:rPr>
              <w:t xml:space="preserve"> </w:t>
            </w:r>
            <w:proofErr w:type="spellStart"/>
            <w:r>
              <w:rPr>
                <w:rFonts w:ascii="Times Roman" w:hAnsi="Times Roman"/>
              </w:rPr>
              <w:t>Localisation</w:t>
            </w:r>
            <w:proofErr w:type="spellEnd"/>
            <w:r>
              <w:rPr>
                <w:rFonts w:ascii="Times Roman" w:hAnsi="Times Roman"/>
              </w:rPr>
              <w:t xml:space="preserve"> movements, alternative lifestyles, </w:t>
            </w:r>
            <w:r>
              <w:rPr>
                <w:rFonts w:ascii="Times Roman" w:hAnsi="Times Roman"/>
                <w:lang w:val="da-DK"/>
              </w:rPr>
              <w:t>indigenous</w:t>
            </w:r>
            <w:r>
              <w:rPr>
                <w:rFonts w:ascii="Times Roman" w:hAnsi="Times Roman"/>
              </w:rPr>
              <w:t xml:space="preserve"> movements lecture and discussions.</w:t>
            </w:r>
          </w:p>
          <w:p w14:paraId="2FC2A3BB"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b/>
                <w:bCs/>
              </w:rPr>
              <w:t xml:space="preserve">Design for wellbeing: </w:t>
            </w:r>
            <w:r>
              <w:rPr>
                <w:rFonts w:ascii="Times Roman" w:hAnsi="Times Roman"/>
                <w:b/>
                <w:bCs/>
                <w:lang w:val="da-DK"/>
              </w:rPr>
              <w:t>sessions w</w:t>
            </w:r>
            <w:r>
              <w:rPr>
                <w:rFonts w:ascii="Times Roman" w:hAnsi="Times Roman"/>
                <w:b/>
                <w:bCs/>
              </w:rPr>
              <w:t>eeks 10-12</w:t>
            </w:r>
          </w:p>
          <w:p w14:paraId="591009A9"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u w:val="single"/>
                <w:lang w:val="nl-NL"/>
              </w:rPr>
              <w:t>Week 10:</w:t>
            </w:r>
            <w:r>
              <w:rPr>
                <w:rFonts w:ascii="Times Roman" w:hAnsi="Times Roman"/>
              </w:rPr>
              <w:t xml:space="preserve"> Design for Wellbeing lecture and</w:t>
            </w:r>
            <w:r>
              <w:rPr>
                <w:rFonts w:ascii="Times Roman" w:hAnsi="Times Roman"/>
                <w:lang w:val="da-DK"/>
              </w:rPr>
              <w:t xml:space="preserve"> </w:t>
            </w:r>
            <w:r>
              <w:rPr>
                <w:rFonts w:ascii="Times Roman" w:hAnsi="Times Roman"/>
                <w:lang w:val="it-IT"/>
              </w:rPr>
              <w:t>discussion.</w:t>
            </w:r>
          </w:p>
          <w:p w14:paraId="574F723C"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u w:val="single"/>
                <w:lang w:val="nl-NL"/>
              </w:rPr>
              <w:t xml:space="preserve">Week 11: </w:t>
            </w:r>
            <w:r>
              <w:rPr>
                <w:rFonts w:ascii="Times Roman" w:hAnsi="Times Roman"/>
              </w:rPr>
              <w:t xml:space="preserve">Futures Wheel workshop (class new understanding of sustainability - </w:t>
            </w:r>
            <w:r>
              <w:rPr>
                <w:rFonts w:ascii="Times Roman" w:hAnsi="Times Roman"/>
              </w:rPr>
              <w:t>imagining and designing futures)</w:t>
            </w:r>
          </w:p>
          <w:p w14:paraId="1DDE3979" w14:textId="77777777" w:rsidR="006C1A90" w:rsidRDefault="00D635F6">
            <w:pPr>
              <w:pStyle w:val="Default"/>
              <w:spacing w:before="0" w:after="240" w:line="240" w:lineRule="auto"/>
              <w:rPr>
                <w:rFonts w:ascii="Times Roman" w:eastAsia="Times Roman" w:hAnsi="Times Roman" w:cs="Times Roman"/>
              </w:rPr>
            </w:pPr>
            <w:r>
              <w:rPr>
                <w:rFonts w:ascii="Times Roman" w:hAnsi="Times Roman"/>
                <w:u w:val="single"/>
                <w:lang w:val="nl-NL"/>
              </w:rPr>
              <w:t xml:space="preserve">Week 12: </w:t>
            </w:r>
            <w:r>
              <w:rPr>
                <w:rFonts w:ascii="Times Roman" w:hAnsi="Times Roman"/>
              </w:rPr>
              <w:t>Review session and student presentations of their selected topic.</w:t>
            </w:r>
          </w:p>
          <w:p w14:paraId="714F89FB" w14:textId="77777777" w:rsidR="006C1A90" w:rsidRDefault="006C1A90">
            <w:pPr>
              <w:pStyle w:val="Default"/>
              <w:spacing w:before="0" w:after="240" w:line="240" w:lineRule="auto"/>
              <w:rPr>
                <w:rFonts w:ascii="Times Roman" w:eastAsia="Times Roman" w:hAnsi="Times Roman" w:cs="Times Roman"/>
              </w:rPr>
            </w:pPr>
          </w:p>
          <w:p w14:paraId="136D56C6" w14:textId="77777777" w:rsidR="006C1A90" w:rsidRDefault="006C1A90">
            <w:pPr>
              <w:pStyle w:val="Default"/>
              <w:spacing w:before="0" w:after="240" w:line="240" w:lineRule="auto"/>
              <w:rPr>
                <w:rFonts w:ascii="Times Roman" w:eastAsia="Times Roman" w:hAnsi="Times Roman" w:cs="Times Roman"/>
              </w:rPr>
            </w:pPr>
          </w:p>
          <w:p w14:paraId="64A6B5AE" w14:textId="77777777" w:rsidR="006C1A90" w:rsidRDefault="006C1A90">
            <w:pPr>
              <w:pStyle w:val="Default"/>
              <w:spacing w:before="0" w:after="240" w:line="240" w:lineRule="auto"/>
            </w:pPr>
          </w:p>
        </w:tc>
      </w:tr>
      <w:tr w:rsidR="006C1A90" w14:paraId="62050A19" w14:textId="77777777">
        <w:tblPrEx>
          <w:tblCellMar>
            <w:top w:w="0" w:type="dxa"/>
            <w:left w:w="0" w:type="dxa"/>
            <w:bottom w:w="0" w:type="dxa"/>
            <w:right w:w="0" w:type="dxa"/>
          </w:tblCellMar>
        </w:tblPrEx>
        <w:trPr>
          <w:trHeight w:val="3713"/>
        </w:trPr>
        <w:tc>
          <w:tcPr>
            <w:tcW w:w="9510" w:type="dxa"/>
            <w:gridSpan w:val="5"/>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91F01A" w14:textId="77777777" w:rsidR="006C1A90" w:rsidRDefault="00D635F6">
            <w:pPr>
              <w:spacing w:after="0" w:line="360" w:lineRule="auto"/>
            </w:pPr>
            <w:r>
              <w:rPr>
                <w:b/>
                <w:bCs/>
              </w:rPr>
              <w:lastRenderedPageBreak/>
              <w:t xml:space="preserve">Specificities of process </w:t>
            </w:r>
            <w:proofErr w:type="spellStart"/>
            <w:r>
              <w:rPr>
                <w:b/>
                <w:bCs/>
              </w:rPr>
              <w:t>organisation</w:t>
            </w:r>
            <w:proofErr w:type="spellEnd"/>
            <w:r>
              <w:rPr>
                <w:b/>
                <w:bCs/>
              </w:rPr>
              <w:t xml:space="preserve"> / </w:t>
            </w:r>
            <w:proofErr w:type="spellStart"/>
            <w:r>
              <w:rPr>
                <w:b/>
                <w:bCs/>
              </w:rPr>
              <w:t>organisation</w:t>
            </w:r>
            <w:proofErr w:type="spellEnd"/>
            <w:r>
              <w:rPr>
                <w:b/>
                <w:bCs/>
              </w:rPr>
              <w:t xml:space="preserve"> of learning</w:t>
            </w:r>
            <w:r>
              <w:t xml:space="preserve">: The course is built on principles of research and discussions with </w:t>
            </w:r>
            <w:r>
              <w:t>facilitated class discussions.</w:t>
            </w:r>
          </w:p>
          <w:p w14:paraId="41B51054" w14:textId="77777777" w:rsidR="006C1A90" w:rsidRDefault="00D635F6">
            <w:pPr>
              <w:pStyle w:val="Default"/>
              <w:spacing w:before="0" w:after="240" w:line="240" w:lineRule="auto"/>
              <w:rPr>
                <w:rFonts w:ascii="Calibri" w:eastAsia="Calibri" w:hAnsi="Calibri" w:cs="Calibri"/>
              </w:rPr>
            </w:pPr>
            <w:r>
              <w:rPr>
                <w:rFonts w:ascii="Calibri" w:hAnsi="Calibri"/>
              </w:rPr>
              <w:t xml:space="preserve">Weekly assignment (introduced in each week giving </w:t>
            </w:r>
            <w:proofErr w:type="gramStart"/>
            <w:r>
              <w:rPr>
                <w:rFonts w:ascii="Calibri" w:hAnsi="Calibri"/>
              </w:rPr>
              <w:t>one week</w:t>
            </w:r>
            <w:proofErr w:type="gramEnd"/>
            <w:r>
              <w:rPr>
                <w:rFonts w:ascii="Calibri" w:hAnsi="Calibri"/>
              </w:rPr>
              <w:t xml:space="preserve"> prep time).</w:t>
            </w:r>
            <w:r>
              <w:rPr>
                <w:rFonts w:ascii="Calibri" w:hAnsi="Calibri"/>
                <w:lang w:val="da-DK"/>
              </w:rPr>
              <w:t xml:space="preserve"> Each session contains a presentation of new knowledge, in lectures or workshops, integrated with collective discussions.  The learning process places emphasis on dynamics of interactive participation, where students discuss subjects in groups, pairs or together in the class. </w:t>
            </w:r>
          </w:p>
          <w:p w14:paraId="5A403C28" w14:textId="77777777" w:rsidR="006C1A90" w:rsidRDefault="00D635F6">
            <w:pPr>
              <w:spacing w:after="0" w:line="360" w:lineRule="auto"/>
              <w:rPr>
                <w:b/>
                <w:bCs/>
              </w:rPr>
            </w:pPr>
            <w:r>
              <w:rPr>
                <w:b/>
                <w:bCs/>
              </w:rPr>
              <w:t>Students' tasks and responsibilities:</w:t>
            </w:r>
          </w:p>
          <w:p w14:paraId="6D50BBF8" w14:textId="77777777" w:rsidR="006C1A90" w:rsidRDefault="00D635F6">
            <w:pPr>
              <w:spacing w:after="0" w:line="240" w:lineRule="auto"/>
            </w:pPr>
            <w:r>
              <w:rPr>
                <w:lang w:val="da-DK"/>
              </w:rPr>
              <w:t>Weekly group and individual assignments for training analytical thinking and research capacities. Preparations for discussing learnt materials in the sessions - co-creation of knowledge.</w:t>
            </w:r>
          </w:p>
          <w:p w14:paraId="4D481972" w14:textId="77777777" w:rsidR="006C1A90" w:rsidRDefault="00D635F6">
            <w:pPr>
              <w:spacing w:after="0" w:line="360" w:lineRule="auto"/>
            </w:pPr>
            <w:r>
              <w:rPr>
                <w:b/>
                <w:bCs/>
              </w:rPr>
              <w:t>Learning environment: (e.g. classroom, studio, off-site, online, in-company placement, etc.)</w:t>
            </w:r>
            <w:r>
              <w:rPr>
                <w:lang w:val="da-DK"/>
              </w:rPr>
              <w:t xml:space="preserve"> </w:t>
            </w:r>
            <w:r>
              <w:t xml:space="preserve">Blended learning environment: </w:t>
            </w:r>
            <w:r>
              <w:rPr>
                <w:lang w:val="da-DK"/>
              </w:rPr>
              <w:t xml:space="preserve">lectures, workshops, </w:t>
            </w:r>
            <w:r>
              <w:t>presentations, group discussions</w:t>
            </w:r>
            <w:r>
              <w:rPr>
                <w:lang w:val="da-DK"/>
              </w:rPr>
              <w:t>.</w:t>
            </w:r>
          </w:p>
        </w:tc>
      </w:tr>
      <w:tr w:rsidR="006C1A90" w14:paraId="3265EBD2" w14:textId="77777777">
        <w:tblPrEx>
          <w:tblCellMar>
            <w:top w:w="0" w:type="dxa"/>
            <w:left w:w="0" w:type="dxa"/>
            <w:bottom w:w="0" w:type="dxa"/>
            <w:right w:w="0" w:type="dxa"/>
          </w:tblCellMar>
        </w:tblPrEx>
        <w:trPr>
          <w:trHeight w:val="6235"/>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613932" w14:textId="77777777" w:rsidR="006C1A90" w:rsidRDefault="00D635F6">
            <w:pPr>
              <w:spacing w:after="0" w:line="360" w:lineRule="auto"/>
              <w:rPr>
                <w:b/>
                <w:bCs/>
                <w:sz w:val="20"/>
                <w:szCs w:val="20"/>
              </w:rPr>
            </w:pPr>
            <w:r>
              <w:rPr>
                <w:b/>
                <w:bCs/>
                <w:sz w:val="20"/>
                <w:szCs w:val="20"/>
              </w:rPr>
              <w:t>Assessment:</w:t>
            </w:r>
          </w:p>
          <w:p w14:paraId="0ADC2462" w14:textId="77777777" w:rsidR="006C1A90" w:rsidRDefault="00D635F6">
            <w:pPr>
              <w:pStyle w:val="Default"/>
              <w:spacing w:before="0" w:after="240" w:line="240" w:lineRule="auto"/>
              <w:rPr>
                <w:rFonts w:ascii="Calibri" w:eastAsia="Calibri" w:hAnsi="Calibri" w:cs="Calibri"/>
                <w:color w:val="1A1A1A"/>
                <w:sz w:val="20"/>
                <w:szCs w:val="20"/>
              </w:rPr>
            </w:pPr>
            <w:r>
              <w:rPr>
                <w:rFonts w:ascii="Calibri" w:hAnsi="Calibri"/>
                <w:color w:val="1A1A1A"/>
                <w:sz w:val="20"/>
                <w:szCs w:val="20"/>
              </w:rPr>
              <w:t>Student presentations</w:t>
            </w:r>
            <w:r>
              <w:rPr>
                <w:rFonts w:ascii="Calibri" w:hAnsi="Calibri"/>
                <w:sz w:val="20"/>
                <w:szCs w:val="20"/>
                <w:lang w:val="da-DK"/>
              </w:rPr>
              <w:t xml:space="preserve">. </w:t>
            </w:r>
            <w:r>
              <w:rPr>
                <w:rFonts w:ascii="Calibri" w:hAnsi="Calibri"/>
                <w:color w:val="1A1A1A"/>
                <w:sz w:val="20"/>
                <w:szCs w:val="20"/>
              </w:rPr>
              <w:t xml:space="preserve">To </w:t>
            </w:r>
            <w:proofErr w:type="spellStart"/>
            <w:r>
              <w:rPr>
                <w:rFonts w:ascii="Calibri" w:hAnsi="Calibri"/>
                <w:color w:val="1A1A1A"/>
                <w:sz w:val="20"/>
                <w:szCs w:val="20"/>
              </w:rPr>
              <w:t>finalise</w:t>
            </w:r>
            <w:proofErr w:type="spellEnd"/>
            <w:r>
              <w:rPr>
                <w:rFonts w:ascii="Calibri" w:hAnsi="Calibri"/>
                <w:color w:val="1A1A1A"/>
                <w:sz w:val="20"/>
                <w:szCs w:val="20"/>
              </w:rPr>
              <w:t xml:space="preserve"> and graduate the course, the students </w:t>
            </w:r>
            <w:proofErr w:type="gramStart"/>
            <w:r>
              <w:rPr>
                <w:rFonts w:ascii="Calibri" w:hAnsi="Calibri"/>
                <w:color w:val="1A1A1A"/>
                <w:sz w:val="20"/>
                <w:szCs w:val="20"/>
              </w:rPr>
              <w:t>have to</w:t>
            </w:r>
            <w:proofErr w:type="gramEnd"/>
            <w:r>
              <w:rPr>
                <w:rFonts w:ascii="Calibri" w:hAnsi="Calibri"/>
                <w:color w:val="1A1A1A"/>
                <w:sz w:val="20"/>
                <w:szCs w:val="20"/>
              </w:rPr>
              <w:t xml:space="preserve"> present their selected course material and try to project their application into a future design scenario. The assessment is based on the </w:t>
            </w:r>
            <w:r>
              <w:rPr>
                <w:rFonts w:ascii="Calibri" w:hAnsi="Calibri"/>
                <w:color w:val="1A1A1A"/>
                <w:sz w:val="20"/>
                <w:szCs w:val="20"/>
              </w:rPr>
              <w:t xml:space="preserve">student's ability to present critical as well as future oriented thinking, and capacity to </w:t>
            </w:r>
            <w:proofErr w:type="spellStart"/>
            <w:r>
              <w:rPr>
                <w:rFonts w:ascii="Calibri" w:hAnsi="Calibri"/>
                <w:color w:val="1A1A1A"/>
                <w:sz w:val="20"/>
                <w:szCs w:val="20"/>
              </w:rPr>
              <w:t>analyse</w:t>
            </w:r>
            <w:proofErr w:type="spellEnd"/>
            <w:r>
              <w:rPr>
                <w:rFonts w:ascii="Calibri" w:hAnsi="Calibri"/>
                <w:color w:val="1A1A1A"/>
                <w:sz w:val="20"/>
                <w:szCs w:val="20"/>
              </w:rPr>
              <w:t xml:space="preserve"> and apply the course materials.</w:t>
            </w:r>
          </w:p>
          <w:p w14:paraId="3A6C88C3" w14:textId="77777777" w:rsidR="006C1A90" w:rsidRDefault="00D635F6">
            <w:pPr>
              <w:spacing w:after="0" w:line="360" w:lineRule="auto"/>
              <w:rPr>
                <w:sz w:val="20"/>
                <w:szCs w:val="20"/>
              </w:rPr>
            </w:pPr>
            <w:r>
              <w:rPr>
                <w:sz w:val="20"/>
                <w:szCs w:val="20"/>
              </w:rPr>
              <w:t>Requirements to be met:</w:t>
            </w:r>
          </w:p>
          <w:p w14:paraId="70C76D6A" w14:textId="77777777" w:rsidR="006C1A90" w:rsidRDefault="00D635F6">
            <w:pPr>
              <w:pStyle w:val="Default"/>
              <w:numPr>
                <w:ilvl w:val="0"/>
                <w:numId w:val="1"/>
              </w:numPr>
              <w:spacing w:before="0" w:line="240" w:lineRule="auto"/>
              <w:rPr>
                <w:rFonts w:ascii="Calibri" w:hAnsi="Calibri"/>
                <w:sz w:val="20"/>
                <w:szCs w:val="20"/>
                <w:u w:color="000000"/>
              </w:rPr>
            </w:pPr>
            <w:r>
              <w:rPr>
                <w:rFonts w:ascii="Calibri" w:hAnsi="Calibri"/>
                <w:sz w:val="20"/>
                <w:szCs w:val="20"/>
                <w:u w:color="000000"/>
              </w:rPr>
              <w:t>Class attendance (maximum number of absences: 3)</w:t>
            </w:r>
          </w:p>
          <w:p w14:paraId="2DBD6DC6" w14:textId="77777777" w:rsidR="006C1A90" w:rsidRDefault="00D635F6">
            <w:pPr>
              <w:pStyle w:val="Default"/>
              <w:numPr>
                <w:ilvl w:val="0"/>
                <w:numId w:val="1"/>
              </w:numPr>
              <w:spacing w:before="0" w:line="240" w:lineRule="auto"/>
              <w:rPr>
                <w:rFonts w:ascii="Calibri" w:hAnsi="Calibri"/>
                <w:sz w:val="20"/>
                <w:szCs w:val="20"/>
                <w:u w:color="000000"/>
                <w:lang w:val="da-DK"/>
              </w:rPr>
            </w:pPr>
            <w:r>
              <w:rPr>
                <w:rFonts w:ascii="Calibri" w:hAnsi="Calibri"/>
                <w:sz w:val="20"/>
                <w:szCs w:val="20"/>
                <w:u w:color="000000"/>
                <w:lang w:val="da-DK"/>
              </w:rPr>
              <w:t>Altogether 8 assignments (weeks 2 - 10): individually or in groups prepared reviews of theoretical materials for discussions, or reviews of materials sourced from podcasts or video materials. Reviews in forms of presentations can be also submitted before class in case of absence.</w:t>
            </w:r>
          </w:p>
          <w:p w14:paraId="57291EEB" w14:textId="77777777" w:rsidR="006C1A90" w:rsidRDefault="006C1A90">
            <w:pPr>
              <w:spacing w:after="0" w:line="360" w:lineRule="auto"/>
              <w:rPr>
                <w:sz w:val="20"/>
                <w:szCs w:val="20"/>
              </w:rPr>
            </w:pPr>
          </w:p>
          <w:p w14:paraId="5F93FCFA" w14:textId="77777777" w:rsidR="006C1A90" w:rsidRDefault="00D635F6">
            <w:pPr>
              <w:spacing w:after="0" w:line="360" w:lineRule="auto"/>
              <w:rPr>
                <w:sz w:val="20"/>
                <w:szCs w:val="20"/>
              </w:rPr>
            </w:pPr>
            <w:r>
              <w:rPr>
                <w:sz w:val="20"/>
                <w:szCs w:val="20"/>
              </w:rPr>
              <w:t xml:space="preserve">Assessment criteria (what is taken into consideration in the assessment): </w:t>
            </w:r>
          </w:p>
          <w:p w14:paraId="4B5CFA55" w14:textId="77777777" w:rsidR="006C1A90" w:rsidRDefault="00D635F6">
            <w:pPr>
              <w:pStyle w:val="Default"/>
              <w:numPr>
                <w:ilvl w:val="0"/>
                <w:numId w:val="1"/>
              </w:numPr>
              <w:spacing w:before="0" w:line="240" w:lineRule="auto"/>
              <w:rPr>
                <w:rFonts w:ascii="Calibri" w:hAnsi="Calibri"/>
                <w:b/>
                <w:bCs/>
                <w:sz w:val="20"/>
                <w:szCs w:val="20"/>
                <w:u w:color="000000"/>
              </w:rPr>
            </w:pPr>
            <w:r>
              <w:rPr>
                <w:rFonts w:ascii="Calibri" w:hAnsi="Calibri"/>
                <w:sz w:val="20"/>
                <w:szCs w:val="20"/>
                <w:u w:color="000000"/>
              </w:rPr>
              <w:t>Evaluation criteria #</w:t>
            </w:r>
            <w:r>
              <w:rPr>
                <w:rFonts w:ascii="Calibri" w:hAnsi="Calibri"/>
                <w:sz w:val="20"/>
                <w:szCs w:val="20"/>
                <w:u w:color="000000"/>
                <w:lang w:val="da-DK"/>
              </w:rPr>
              <w:t xml:space="preserve">1 </w:t>
            </w:r>
            <w:r>
              <w:rPr>
                <w:rFonts w:ascii="Calibri" w:hAnsi="Calibri"/>
                <w:sz w:val="20"/>
                <w:szCs w:val="20"/>
                <w:u w:color="000000"/>
              </w:rPr>
              <w:t>Individual engagement and group work contributions in discussions</w:t>
            </w:r>
          </w:p>
          <w:p w14:paraId="48FC5DDA" w14:textId="77777777" w:rsidR="006C1A90" w:rsidRDefault="00D635F6">
            <w:pPr>
              <w:pStyle w:val="Default"/>
              <w:numPr>
                <w:ilvl w:val="0"/>
                <w:numId w:val="1"/>
              </w:numPr>
              <w:spacing w:before="0" w:line="240" w:lineRule="auto"/>
              <w:rPr>
                <w:rFonts w:ascii="Calibri" w:hAnsi="Calibri"/>
                <w:sz w:val="20"/>
                <w:szCs w:val="20"/>
                <w:u w:color="000000"/>
              </w:rPr>
            </w:pPr>
            <w:r>
              <w:rPr>
                <w:rFonts w:ascii="Calibri" w:hAnsi="Calibri"/>
                <w:sz w:val="20"/>
                <w:szCs w:val="20"/>
                <w:u w:color="000000"/>
              </w:rPr>
              <w:t>Evaluation criteria #</w:t>
            </w:r>
            <w:r>
              <w:rPr>
                <w:rFonts w:ascii="Calibri" w:hAnsi="Calibri"/>
                <w:sz w:val="20"/>
                <w:szCs w:val="20"/>
                <w:u w:color="000000"/>
                <w:lang w:val="da-DK"/>
              </w:rPr>
              <w:t xml:space="preserve">2 </w:t>
            </w:r>
            <w:r>
              <w:rPr>
                <w:rFonts w:ascii="Calibri" w:hAnsi="Calibri"/>
                <w:sz w:val="20"/>
                <w:szCs w:val="20"/>
                <w:u w:color="000000"/>
              </w:rPr>
              <w:t>research competency and assignment presentation competencies</w:t>
            </w:r>
          </w:p>
          <w:p w14:paraId="14A95F45" w14:textId="77777777" w:rsidR="006C1A90" w:rsidRDefault="006C1A90">
            <w:pPr>
              <w:pStyle w:val="Default"/>
              <w:spacing w:before="0" w:line="240" w:lineRule="auto"/>
              <w:rPr>
                <w:rFonts w:ascii="Calibri" w:eastAsia="Calibri" w:hAnsi="Calibri" w:cs="Calibri"/>
                <w:b/>
                <w:bCs/>
                <w:sz w:val="20"/>
                <w:szCs w:val="20"/>
                <w:u w:color="000000"/>
              </w:rPr>
            </w:pPr>
          </w:p>
          <w:p w14:paraId="40B8A332" w14:textId="77777777" w:rsidR="006C1A90" w:rsidRDefault="00D635F6">
            <w:pPr>
              <w:spacing w:after="0" w:line="360" w:lineRule="auto"/>
              <w:rPr>
                <w:sz w:val="20"/>
                <w:szCs w:val="20"/>
              </w:rPr>
            </w:pPr>
            <w:r>
              <w:rPr>
                <w:sz w:val="20"/>
                <w:szCs w:val="20"/>
              </w:rPr>
              <w:t xml:space="preserve">How is the mark calculated (how is the result of each assessed requirement reflected in the final mark? {e.g. proportions, points, weights}):  </w:t>
            </w:r>
          </w:p>
          <w:p w14:paraId="065999CC" w14:textId="77777777" w:rsidR="006C1A90" w:rsidRDefault="00D635F6">
            <w:pPr>
              <w:pStyle w:val="Default"/>
              <w:spacing w:before="0" w:line="240" w:lineRule="auto"/>
              <w:rPr>
                <w:rFonts w:ascii="Calibri" w:eastAsia="Calibri" w:hAnsi="Calibri" w:cs="Calibri"/>
                <w:sz w:val="20"/>
                <w:szCs w:val="20"/>
              </w:rPr>
            </w:pPr>
            <w:r>
              <w:rPr>
                <w:rFonts w:ascii="Calibri" w:hAnsi="Calibri"/>
                <w:sz w:val="20"/>
                <w:szCs w:val="20"/>
              </w:rPr>
              <w:t>- Individual engagement and class participation 30%</w:t>
            </w:r>
          </w:p>
          <w:p w14:paraId="366DD86A" w14:textId="77777777" w:rsidR="006C1A90" w:rsidRDefault="00D635F6">
            <w:pPr>
              <w:pStyle w:val="Default"/>
              <w:spacing w:before="0" w:line="240" w:lineRule="auto"/>
              <w:rPr>
                <w:rFonts w:ascii="Calibri" w:eastAsia="Calibri" w:hAnsi="Calibri" w:cs="Calibri"/>
                <w:sz w:val="20"/>
                <w:szCs w:val="20"/>
              </w:rPr>
            </w:pPr>
            <w:r>
              <w:rPr>
                <w:rFonts w:ascii="Calibri" w:hAnsi="Calibri"/>
                <w:sz w:val="20"/>
                <w:szCs w:val="20"/>
              </w:rPr>
              <w:t>- research competency and assignment completion, contributions in class discussions 40%</w:t>
            </w:r>
          </w:p>
          <w:p w14:paraId="2F1421EA" w14:textId="77777777" w:rsidR="006C1A90" w:rsidRDefault="00D635F6">
            <w:pPr>
              <w:pStyle w:val="Default"/>
              <w:spacing w:before="0" w:line="240" w:lineRule="auto"/>
            </w:pPr>
            <w:r>
              <w:rPr>
                <w:rFonts w:ascii="Calibri" w:hAnsi="Calibri"/>
                <w:sz w:val="20"/>
                <w:szCs w:val="20"/>
              </w:rPr>
              <w:t>- final presentation 30%</w:t>
            </w:r>
          </w:p>
        </w:tc>
      </w:tr>
      <w:tr w:rsidR="006C1A90" w14:paraId="64BB7C6A" w14:textId="77777777">
        <w:tblPrEx>
          <w:tblCellMar>
            <w:top w:w="0" w:type="dxa"/>
            <w:left w:w="0" w:type="dxa"/>
            <w:bottom w:w="0" w:type="dxa"/>
            <w:right w:w="0" w:type="dxa"/>
          </w:tblCellMar>
        </w:tblPrEx>
        <w:trPr>
          <w:trHeight w:val="1055"/>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149AA7" w14:textId="77777777" w:rsidR="006C1A90" w:rsidRDefault="00D635F6">
            <w:pPr>
              <w:spacing w:after="0" w:line="360" w:lineRule="auto"/>
              <w:rPr>
                <w:b/>
                <w:bCs/>
              </w:rPr>
            </w:pPr>
            <w:r>
              <w:rPr>
                <w:b/>
                <w:bCs/>
              </w:rPr>
              <w:t>Required Literature:</w:t>
            </w:r>
            <w:r>
              <w:rPr>
                <w:b/>
                <w:bCs/>
                <w:lang w:val="da-DK"/>
              </w:rPr>
              <w:t xml:space="preserve"> TBA</w:t>
            </w:r>
          </w:p>
          <w:p w14:paraId="307DB776" w14:textId="77777777" w:rsidR="006C1A90" w:rsidRDefault="006C1A90">
            <w:pPr>
              <w:spacing w:after="0" w:line="360" w:lineRule="auto"/>
              <w:rPr>
                <w:b/>
                <w:bCs/>
              </w:rPr>
            </w:pPr>
          </w:p>
          <w:p w14:paraId="61F3E595" w14:textId="77777777" w:rsidR="006C1A90" w:rsidRDefault="00D635F6">
            <w:pPr>
              <w:spacing w:after="0" w:line="360" w:lineRule="auto"/>
            </w:pPr>
            <w:r>
              <w:rPr>
                <w:b/>
                <w:bCs/>
              </w:rPr>
              <w:t>Recommended Literature:</w:t>
            </w:r>
            <w:r>
              <w:rPr>
                <w:b/>
                <w:bCs/>
                <w:lang w:val="da-DK"/>
              </w:rPr>
              <w:t xml:space="preserve"> TBA</w:t>
            </w:r>
          </w:p>
        </w:tc>
      </w:tr>
      <w:tr w:rsidR="006C1A90" w14:paraId="2696F622" w14:textId="77777777">
        <w:tblPrEx>
          <w:tblCellMar>
            <w:top w:w="0" w:type="dxa"/>
            <w:left w:w="0" w:type="dxa"/>
            <w:bottom w:w="0" w:type="dxa"/>
            <w:right w:w="0" w:type="dxa"/>
          </w:tblCellMar>
        </w:tblPrEx>
        <w:trPr>
          <w:trHeight w:val="923"/>
        </w:trPr>
        <w:tc>
          <w:tcPr>
            <w:tcW w:w="9510" w:type="dxa"/>
            <w:gridSpan w:val="5"/>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07A0CEF2" w14:textId="77777777" w:rsidR="006C1A90" w:rsidRDefault="00D635F6">
            <w:pPr>
              <w:spacing w:after="0" w:line="360" w:lineRule="auto"/>
              <w:rPr>
                <w:b/>
                <w:bCs/>
              </w:rPr>
            </w:pPr>
            <w:r>
              <w:rPr>
                <w:b/>
                <w:bCs/>
              </w:rPr>
              <w:t xml:space="preserve">Other information: </w:t>
            </w:r>
          </w:p>
          <w:p w14:paraId="3F2FC4A0" w14:textId="77777777" w:rsidR="006C1A90" w:rsidRDefault="00D635F6">
            <w:pPr>
              <w:spacing w:after="0" w:line="240" w:lineRule="auto"/>
            </w:pPr>
            <w:r>
              <w:rPr>
                <w:lang w:val="da-DK"/>
              </w:rPr>
              <w:t xml:space="preserve">The course will be discussions and debates based preparing the students for being able to associate and sympathise with </w:t>
            </w:r>
            <w:r>
              <w:rPr>
                <w:lang w:val="da-DK"/>
              </w:rPr>
              <w:t>multiple points of views and from several disciplinary backgrounds.</w:t>
            </w:r>
          </w:p>
        </w:tc>
      </w:tr>
      <w:tr w:rsidR="006C1A90" w14:paraId="3113DA9B" w14:textId="77777777">
        <w:tblPrEx>
          <w:tblCellMar>
            <w:top w:w="0" w:type="dxa"/>
            <w:left w:w="0" w:type="dxa"/>
            <w:bottom w:w="0" w:type="dxa"/>
            <w:right w:w="0" w:type="dxa"/>
          </w:tblCellMar>
        </w:tblPrEx>
        <w:trPr>
          <w:trHeight w:val="2613"/>
        </w:trPr>
        <w:tc>
          <w:tcPr>
            <w:tcW w:w="9510" w:type="dxa"/>
            <w:gridSpan w:val="5"/>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6D3F30" w14:textId="77777777" w:rsidR="006C1A90" w:rsidRDefault="00D635F6">
            <w:pPr>
              <w:spacing w:after="0" w:line="360" w:lineRule="auto"/>
              <w:jc w:val="both"/>
              <w:rPr>
                <w:b/>
                <w:bCs/>
              </w:rPr>
            </w:pPr>
            <w:r>
              <w:rPr>
                <w:b/>
                <w:bCs/>
              </w:rPr>
              <w:lastRenderedPageBreak/>
              <w:t>Recognition of knowledge acquired elsewhere/previously/validation principle:</w:t>
            </w:r>
          </w:p>
          <w:p w14:paraId="621DB6D4" w14:textId="77777777" w:rsidR="006C1A90" w:rsidRDefault="00D635F6">
            <w:pPr>
              <w:spacing w:after="0" w:line="360" w:lineRule="auto"/>
              <w:jc w:val="both"/>
            </w:pPr>
            <w:r>
              <w:t>No exemption from attending and completing the course.</w:t>
            </w:r>
          </w:p>
          <w:p w14:paraId="28FBCB2B" w14:textId="77777777" w:rsidR="006C1A90" w:rsidRDefault="00D635F6">
            <w:pPr>
              <w:spacing w:after="0" w:line="360" w:lineRule="auto"/>
              <w:jc w:val="both"/>
            </w:pPr>
            <w:r>
              <w:t xml:space="preserve">Exemptions from the acquisition of certain </w:t>
            </w:r>
            <w:r>
              <w:t>competences and the completion of certain tasks may be granted.</w:t>
            </w:r>
          </w:p>
          <w:p w14:paraId="5EADF687" w14:textId="77777777" w:rsidR="006C1A90" w:rsidRDefault="00D635F6">
            <w:pPr>
              <w:spacing w:after="0" w:line="360" w:lineRule="auto"/>
              <w:jc w:val="both"/>
            </w:pPr>
            <w:r>
              <w:t>Some tasks may be replaced by other activities.</w:t>
            </w:r>
          </w:p>
          <w:p w14:paraId="52D784F0" w14:textId="77777777" w:rsidR="006C1A90" w:rsidRDefault="00D635F6">
            <w:pPr>
              <w:spacing w:after="0" w:line="360" w:lineRule="auto"/>
              <w:jc w:val="both"/>
            </w:pPr>
            <w:r>
              <w:t>Full exemption may be granted.</w:t>
            </w:r>
          </w:p>
        </w:tc>
      </w:tr>
      <w:tr w:rsidR="006C1A90" w14:paraId="2C1CC723" w14:textId="77777777">
        <w:tblPrEx>
          <w:tblCellMar>
            <w:top w:w="0" w:type="dxa"/>
            <w:left w:w="0" w:type="dxa"/>
            <w:bottom w:w="0" w:type="dxa"/>
            <w:right w:w="0" w:type="dxa"/>
          </w:tblCellMar>
        </w:tblPrEx>
        <w:trPr>
          <w:trHeight w:val="876"/>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B649F8" w14:textId="77777777" w:rsidR="006C1A90" w:rsidRDefault="00D635F6">
            <w:pPr>
              <w:spacing w:after="0" w:line="360" w:lineRule="auto"/>
              <w:rPr>
                <w:b/>
                <w:bCs/>
              </w:rPr>
            </w:pPr>
            <w:r>
              <w:rPr>
                <w:b/>
                <w:bCs/>
              </w:rPr>
              <w:t>Out-of-class consultation times and location:</w:t>
            </w:r>
          </w:p>
          <w:p w14:paraId="29408AE2" w14:textId="77777777" w:rsidR="006C1A90" w:rsidRDefault="00D635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pPr>
            <w:r>
              <w:rPr>
                <w:rFonts w:ascii="Times New Roman" w:hAnsi="Times New Roman"/>
                <w:lang w:val="da-DK"/>
              </w:rPr>
              <w:t xml:space="preserve">Consultations: Online as per request during weekdays. In person, on Thursdays before or after the class. Email to </w:t>
            </w:r>
            <w:hyperlink r:id="rId7" w:history="1">
              <w:r>
                <w:rPr>
                  <w:rStyle w:val="Hyperlink0"/>
                  <w:rFonts w:ascii="Times New Roman" w:hAnsi="Times New Roman"/>
                  <w:lang w:val="da-DK"/>
                </w:rPr>
                <w:t>vissonova@icloud.com</w:t>
              </w:r>
            </w:hyperlink>
          </w:p>
        </w:tc>
      </w:tr>
    </w:tbl>
    <w:p w14:paraId="671044AE" w14:textId="77777777" w:rsidR="006C1A90" w:rsidRDefault="006C1A90">
      <w:pPr>
        <w:pStyle w:val="Cmsor2"/>
        <w:widowControl w:val="0"/>
      </w:pPr>
    </w:p>
    <w:sectPr w:rsidR="006C1A90">
      <w:headerReference w:type="default" r:id="rId8"/>
      <w:footerReference w:type="default" r:id="rId9"/>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9B92" w14:textId="77777777" w:rsidR="00D635F6" w:rsidRDefault="00D635F6">
      <w:pPr>
        <w:spacing w:after="0" w:line="240" w:lineRule="auto"/>
      </w:pPr>
      <w:r>
        <w:separator/>
      </w:r>
    </w:p>
  </w:endnote>
  <w:endnote w:type="continuationSeparator" w:id="0">
    <w:p w14:paraId="7B3F562B" w14:textId="77777777" w:rsidR="00D635F6" w:rsidRDefault="00D6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11D0" w14:textId="77777777" w:rsidR="006C1A90" w:rsidRDefault="006C1A9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2269" w14:textId="77777777" w:rsidR="00D635F6" w:rsidRDefault="00D635F6">
      <w:pPr>
        <w:spacing w:after="0" w:line="240" w:lineRule="auto"/>
      </w:pPr>
      <w:r>
        <w:separator/>
      </w:r>
    </w:p>
  </w:footnote>
  <w:footnote w:type="continuationSeparator" w:id="0">
    <w:p w14:paraId="3AABFB8C" w14:textId="77777777" w:rsidR="00D635F6" w:rsidRDefault="00D6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68E8" w14:textId="77777777" w:rsidR="006C1A90" w:rsidRDefault="006C1A9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B4290"/>
    <w:multiLevelType w:val="hybridMultilevel"/>
    <w:tmpl w:val="8346A22C"/>
    <w:lvl w:ilvl="0" w:tplc="15E65C3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A0A7AFE">
      <w:start w:val="1"/>
      <w:numFmt w:val="bullet"/>
      <w:lvlText w:val="o"/>
      <w:lvlJc w:val="left"/>
      <w:pPr>
        <w:ind w:left="140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0E898C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C6DF92">
      <w:start w:val="1"/>
      <w:numFmt w:val="bullet"/>
      <w:lvlText w:val="•"/>
      <w:lvlJc w:val="left"/>
      <w:pPr>
        <w:ind w:left="284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3C4B1CC">
      <w:start w:val="1"/>
      <w:numFmt w:val="bullet"/>
      <w:lvlText w:val="o"/>
      <w:lvlJc w:val="left"/>
      <w:pPr>
        <w:ind w:left="356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DC6815C">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1881F6">
      <w:start w:val="1"/>
      <w:numFmt w:val="bullet"/>
      <w:lvlText w:val="•"/>
      <w:lvlJc w:val="left"/>
      <w:pPr>
        <w:ind w:left="500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19C920C">
      <w:start w:val="1"/>
      <w:numFmt w:val="bullet"/>
      <w:lvlText w:val="o"/>
      <w:lvlJc w:val="left"/>
      <w:pPr>
        <w:ind w:left="572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A242B52">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7557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A90"/>
    <w:rsid w:val="006C1A90"/>
    <w:rsid w:val="00D635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C16C"/>
  <w15:docId w15:val="{5F6AA7D7-8CD7-4E4E-B2F0-71FBCC52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rFonts w:ascii="Calibri" w:hAnsi="Calibri" w:cs="Arial Unicode MS"/>
      <w:color w:val="000000"/>
      <w:sz w:val="22"/>
      <w:szCs w:val="22"/>
      <w:u w:color="000000"/>
      <w:lang w:val="en-US"/>
    </w:rPr>
  </w:style>
  <w:style w:type="paragraph" w:styleId="Cmsor2">
    <w:name w:val="heading 2"/>
    <w:next w:val="Norml"/>
    <w:uiPriority w:val="9"/>
    <w:unhideWhenUsed/>
    <w:qFormat/>
    <w:pPr>
      <w:keepNext/>
      <w:spacing w:before="240" w:after="60"/>
      <w:outlineLvl w:val="1"/>
    </w:pPr>
    <w:rPr>
      <w:rFonts w:ascii="Arial" w:hAnsi="Arial" w:cs="Arial Unicode MS"/>
      <w:b/>
      <w:bCs/>
      <w:i/>
      <w:iCs/>
      <w:color w:val="000000"/>
      <w:sz w:val="24"/>
      <w:szCs w:val="24"/>
      <w:u w:color="000000"/>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563C1"/>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2807">
      <w:bodyDiv w:val="1"/>
      <w:marLeft w:val="0"/>
      <w:marRight w:val="0"/>
      <w:marTop w:val="0"/>
      <w:marBottom w:val="0"/>
      <w:divBdr>
        <w:top w:val="none" w:sz="0" w:space="0" w:color="auto"/>
        <w:left w:val="none" w:sz="0" w:space="0" w:color="auto"/>
        <w:bottom w:val="none" w:sz="0" w:space="0" w:color="auto"/>
        <w:right w:val="none" w:sz="0" w:space="0" w:color="auto"/>
      </w:divBdr>
    </w:div>
    <w:div w:id="1323460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ssonova@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888</Words>
  <Characters>6135</Characters>
  <Application>Microsoft Office Word</Application>
  <DocSecurity>0</DocSecurity>
  <Lines>51</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Juhász Péter</cp:lastModifiedBy>
  <cp:revision>2</cp:revision>
  <dcterms:created xsi:type="dcterms:W3CDTF">2024-01-16T12:55:00Z</dcterms:created>
  <dcterms:modified xsi:type="dcterms:W3CDTF">2024-01-16T12:58:00Z</dcterms:modified>
</cp:coreProperties>
</file>